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84" w:rsidRPr="0057685E" w:rsidRDefault="0057685E" w:rsidP="0057685E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57685E">
        <w:rPr>
          <w:rFonts w:ascii="標楷體" w:eastAsia="標楷體" w:hAnsi="標楷體" w:hint="eastAsia"/>
          <w:b/>
          <w:sz w:val="36"/>
          <w:szCs w:val="36"/>
        </w:rPr>
        <w:t>桃園市政府及所屬各機關學校公務人員遷調實施要點</w:t>
      </w:r>
    </w:p>
    <w:p w:rsidR="0057685E" w:rsidRPr="0057685E" w:rsidRDefault="0057685E" w:rsidP="0057685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57685E">
        <w:rPr>
          <w:rFonts w:ascii="標楷體" w:eastAsia="標楷體" w:hAnsi="標楷體" w:hint="eastAsia"/>
          <w:sz w:val="28"/>
          <w:szCs w:val="28"/>
        </w:rPr>
        <w:t>本要點依公務人員陞遷法第十三條第二項規定訂定之。</w:t>
      </w:r>
    </w:p>
    <w:p w:rsidR="0057685E" w:rsidRPr="00D9686B" w:rsidRDefault="0057685E" w:rsidP="0057685E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C10DD">
        <w:rPr>
          <w:rFonts w:ascii="標楷體" w:eastAsia="標楷體" w:hAnsi="標楷體" w:hint="eastAsia"/>
          <w:sz w:val="28"/>
          <w:szCs w:val="28"/>
        </w:rPr>
        <w:t>二、</w:t>
      </w:r>
      <w:r w:rsidRPr="00D9686B">
        <w:rPr>
          <w:rFonts w:ascii="標楷體" w:eastAsia="標楷體" w:hAnsi="標楷體" w:hint="eastAsia"/>
          <w:sz w:val="28"/>
          <w:szCs w:val="28"/>
        </w:rPr>
        <w:t>本要點所稱遷調，指桃園市政府（以下簡稱本府）及所屬各機關學校 (以下簡稱各機關)辦理下列各種遷調：</w:t>
      </w:r>
    </w:p>
    <w:p w:rsidR="0057685E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Pr="00D9686B">
        <w:rPr>
          <w:rFonts w:ascii="標楷體" w:eastAsia="標楷體" w:hAnsi="標楷體" w:hint="eastAsia"/>
          <w:sz w:val="28"/>
          <w:szCs w:val="28"/>
        </w:rPr>
        <w:t>本機關內部單位主管間或副</w:t>
      </w:r>
      <w:bookmarkStart w:id="0" w:name="_GoBack"/>
      <w:bookmarkEnd w:id="0"/>
      <w:r w:rsidRPr="00D9686B">
        <w:rPr>
          <w:rFonts w:ascii="標楷體" w:eastAsia="標楷體" w:hAnsi="標楷體" w:hint="eastAsia"/>
          <w:sz w:val="28"/>
          <w:szCs w:val="28"/>
        </w:rPr>
        <w:t>主管間之遷調。</w:t>
      </w:r>
    </w:p>
    <w:p w:rsidR="0057685E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D9686B">
        <w:rPr>
          <w:rFonts w:ascii="標楷體" w:eastAsia="標楷體" w:hAnsi="標楷體" w:hint="eastAsia"/>
          <w:sz w:val="28"/>
          <w:szCs w:val="28"/>
        </w:rPr>
        <w:t>本機關非主管人員間之遷調。</w:t>
      </w:r>
    </w:p>
    <w:p w:rsidR="0057685E" w:rsidRPr="00D9686B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Pr="00D9686B">
        <w:rPr>
          <w:rFonts w:ascii="標楷體" w:eastAsia="標楷體" w:hAnsi="標楷體" w:hint="eastAsia"/>
          <w:sz w:val="28"/>
          <w:szCs w:val="28"/>
        </w:rPr>
        <w:t>本機關主管人員與所屬機關首長、副首長或主管人員間之遷調。</w:t>
      </w:r>
    </w:p>
    <w:p w:rsidR="0057685E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D9686B">
        <w:rPr>
          <w:rFonts w:ascii="標楷體" w:eastAsia="標楷體" w:hAnsi="標楷體" w:hint="eastAsia"/>
          <w:sz w:val="28"/>
          <w:szCs w:val="28"/>
        </w:rPr>
        <w:t>所屬機關首長、副首長或主管人員間之遷調。</w:t>
      </w:r>
    </w:p>
    <w:p w:rsidR="0057685E" w:rsidRPr="00D9686B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(五)</w:t>
      </w:r>
      <w:r w:rsidRPr="00D9686B">
        <w:rPr>
          <w:rFonts w:ascii="標楷體" w:eastAsia="標楷體" w:hAnsi="標楷體" w:hint="eastAsia"/>
          <w:sz w:val="28"/>
          <w:szCs w:val="28"/>
        </w:rPr>
        <w:t>本機關與所屬機關間或所屬機關間非主管人員之遷調。</w:t>
      </w:r>
    </w:p>
    <w:p w:rsidR="0057685E" w:rsidRPr="0057685E" w:rsidRDefault="0057685E" w:rsidP="0057685E">
      <w:pPr>
        <w:pStyle w:val="a3"/>
        <w:ind w:leftChars="0" w:left="600"/>
        <w:rPr>
          <w:rFonts w:hint="eastAsia"/>
        </w:rPr>
      </w:pPr>
      <w:r w:rsidRPr="00D9686B">
        <w:rPr>
          <w:rFonts w:ascii="標楷體" w:eastAsia="標楷體" w:hAnsi="標楷體" w:hint="eastAsia"/>
          <w:sz w:val="28"/>
          <w:szCs w:val="28"/>
        </w:rPr>
        <w:t>前項各種遷調，得免經甄審(選）。</w:t>
      </w:r>
    </w:p>
    <w:p w:rsidR="0057685E" w:rsidRPr="00D9686B" w:rsidRDefault="0057685E" w:rsidP="0057685E">
      <w:pPr>
        <w:spacing w:line="480" w:lineRule="exact"/>
        <w:ind w:left="504" w:hangingChars="180" w:hanging="504"/>
        <w:rPr>
          <w:rFonts w:ascii="標楷體" w:eastAsia="標楷體" w:hAnsi="標楷體" w:hint="eastAsia"/>
          <w:sz w:val="28"/>
          <w:szCs w:val="28"/>
        </w:rPr>
      </w:pPr>
      <w:r w:rsidRPr="00351F29">
        <w:rPr>
          <w:rFonts w:ascii="標楷體" w:eastAsia="標楷體" w:hAnsi="標楷體" w:hint="eastAsia"/>
          <w:sz w:val="28"/>
          <w:szCs w:val="28"/>
        </w:rPr>
        <w:t>三、</w:t>
      </w:r>
      <w:r w:rsidRPr="00D9686B">
        <w:rPr>
          <w:rFonts w:ascii="標楷體" w:eastAsia="標楷體" w:hAnsi="標楷體" w:hint="eastAsia"/>
          <w:sz w:val="28"/>
          <w:szCs w:val="28"/>
        </w:rPr>
        <w:t>各機關辦理遷調時，除不得違反公務人員任用法及相關法令規定外，並應以遷調本機關職務列等及職務相當之職務為原則。</w:t>
      </w:r>
    </w:p>
    <w:p w:rsidR="0057685E" w:rsidRDefault="0057685E" w:rsidP="0057685E">
      <w:pPr>
        <w:pStyle w:val="a3"/>
        <w:ind w:leftChars="0" w:left="504"/>
        <w:rPr>
          <w:rFonts w:ascii="標楷體" w:eastAsia="標楷體" w:hAnsi="標楷體" w:hint="eastAsia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上級機關應業務需要，得統籌辦理本機關及所屬機關人員之遷調。</w:t>
      </w:r>
    </w:p>
    <w:p w:rsidR="0057685E" w:rsidRPr="00D9686B" w:rsidRDefault="0057685E" w:rsidP="0057685E">
      <w:pPr>
        <w:spacing w:line="48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 w:rsidRPr="00351F29">
        <w:rPr>
          <w:rFonts w:ascii="標楷體" w:eastAsia="標楷體" w:hAnsi="標楷體" w:hint="eastAsia"/>
          <w:sz w:val="28"/>
          <w:szCs w:val="28"/>
        </w:rPr>
        <w:t>四、</w:t>
      </w:r>
      <w:r w:rsidRPr="00D9686B">
        <w:rPr>
          <w:rFonts w:ascii="標楷體" w:eastAsia="標楷體" w:hAnsi="標楷體" w:hint="eastAsia"/>
          <w:sz w:val="28"/>
          <w:szCs w:val="28"/>
        </w:rPr>
        <w:t>為增加所屬人員職務歷練機會，並避免久任一職，</w:t>
      </w:r>
      <w:r w:rsidRPr="00D9686B">
        <w:rPr>
          <w:rFonts w:ascii="標楷體" w:eastAsia="標楷體" w:hAnsi="標楷體"/>
          <w:sz w:val="28"/>
          <w:szCs w:val="28"/>
        </w:rPr>
        <w:t>各機關</w:t>
      </w:r>
      <w:r w:rsidRPr="00D9686B">
        <w:rPr>
          <w:rFonts w:ascii="標楷體" w:eastAsia="標楷體" w:hAnsi="標楷體" w:hint="eastAsia"/>
          <w:sz w:val="28"/>
          <w:szCs w:val="28"/>
        </w:rPr>
        <w:t>對於所屬人員任本職務滿三年者，</w:t>
      </w:r>
      <w:r w:rsidRPr="00D9686B">
        <w:rPr>
          <w:rFonts w:ascii="標楷體" w:eastAsia="標楷體" w:hAnsi="標楷體"/>
          <w:sz w:val="28"/>
          <w:szCs w:val="28"/>
        </w:rPr>
        <w:t>應依規定每年定期檢討辦理</w:t>
      </w:r>
      <w:r w:rsidRPr="00D9686B">
        <w:rPr>
          <w:rFonts w:ascii="標楷體" w:eastAsia="標楷體" w:hAnsi="標楷體" w:hint="eastAsia"/>
          <w:sz w:val="28"/>
          <w:szCs w:val="28"/>
        </w:rPr>
        <w:t>遷調，</w:t>
      </w:r>
      <w:r w:rsidRPr="00D9686B">
        <w:rPr>
          <w:rFonts w:ascii="標楷體" w:eastAsia="標楷體" w:hAnsi="標楷體"/>
          <w:sz w:val="28"/>
          <w:szCs w:val="28"/>
        </w:rPr>
        <w:t>但具下列情形之一者，得隨時予以調任，不受</w:t>
      </w:r>
      <w:r w:rsidRPr="00D9686B">
        <w:rPr>
          <w:rFonts w:ascii="標楷體" w:eastAsia="標楷體" w:hAnsi="標楷體" w:hint="eastAsia"/>
          <w:sz w:val="28"/>
          <w:szCs w:val="28"/>
        </w:rPr>
        <w:t>任本職務滿三年之</w:t>
      </w:r>
      <w:r w:rsidRPr="00D9686B">
        <w:rPr>
          <w:rFonts w:ascii="標楷體" w:eastAsia="標楷體" w:hAnsi="標楷體"/>
          <w:sz w:val="28"/>
          <w:szCs w:val="28"/>
        </w:rPr>
        <w:t>限制：</w:t>
      </w:r>
      <w:r w:rsidRPr="00D9686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7685E" w:rsidRPr="00D9686B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Pr="00D9686B">
        <w:rPr>
          <w:rFonts w:ascii="標楷體" w:eastAsia="標楷體" w:hAnsi="標楷體" w:hint="eastAsia"/>
          <w:sz w:val="28"/>
          <w:szCs w:val="28"/>
        </w:rPr>
        <w:t>受懲戒處分或記過以上行政處分，不宜在原單位服務。</w:t>
      </w:r>
    </w:p>
    <w:p w:rsidR="0057685E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D9686B">
        <w:rPr>
          <w:rFonts w:ascii="標楷體" w:eastAsia="標楷體" w:hAnsi="標楷體" w:hint="eastAsia"/>
          <w:sz w:val="28"/>
          <w:szCs w:val="28"/>
        </w:rPr>
        <w:t>人地不宜，經查明有具體事實。</w:t>
      </w:r>
    </w:p>
    <w:p w:rsidR="0057685E" w:rsidRDefault="0057685E" w:rsidP="0057685E">
      <w:pPr>
        <w:pStyle w:val="a3"/>
        <w:ind w:leftChars="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D9686B">
        <w:rPr>
          <w:rFonts w:ascii="標楷體" w:eastAsia="標楷體" w:hAnsi="標楷體" w:hint="eastAsia"/>
          <w:sz w:val="28"/>
          <w:szCs w:val="28"/>
        </w:rPr>
        <w:t>因業務需要或具特殊情形。</w:t>
      </w:r>
    </w:p>
    <w:p w:rsidR="0057685E" w:rsidRDefault="0057685E" w:rsidP="0057685E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351F29">
        <w:rPr>
          <w:rFonts w:ascii="標楷體" w:eastAsia="標楷體" w:hAnsi="標楷體" w:hint="eastAsia"/>
          <w:sz w:val="28"/>
          <w:szCs w:val="28"/>
        </w:rPr>
        <w:t>五、</w:t>
      </w:r>
      <w:r w:rsidRPr="00D9686B">
        <w:rPr>
          <w:rFonts w:ascii="標楷體" w:eastAsia="標楷體" w:hAnsi="標楷體" w:hint="eastAsia"/>
          <w:sz w:val="28"/>
          <w:szCs w:val="28"/>
        </w:rPr>
        <w:t>各機關人員具有下列情形之一者，得不予遷調：</w:t>
      </w:r>
    </w:p>
    <w:p w:rsidR="0057685E" w:rsidRPr="00D9686B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Pr="00D9686B">
        <w:rPr>
          <w:rFonts w:ascii="標楷體" w:eastAsia="標楷體" w:hAnsi="標楷體" w:hint="eastAsia"/>
          <w:sz w:val="28"/>
          <w:szCs w:val="28"/>
        </w:rPr>
        <w:t>政務人員及機要人員。</w:t>
      </w:r>
    </w:p>
    <w:p w:rsidR="0057685E" w:rsidRDefault="0057685E" w:rsidP="0057685E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(二)因</w:t>
      </w:r>
      <w:r w:rsidRPr="00D9686B">
        <w:rPr>
          <w:rFonts w:ascii="標楷體" w:eastAsia="標楷體" w:hAnsi="標楷體" w:hint="eastAsia"/>
          <w:sz w:val="28"/>
          <w:szCs w:val="28"/>
        </w:rPr>
        <w:t>所任職務工作性質屬特殊專長或無適當職務可資調任或</w:t>
      </w:r>
      <w:r>
        <w:rPr>
          <w:rFonts w:ascii="標楷體" w:eastAsia="標楷體" w:hAnsi="標楷體" w:hint="eastAsia"/>
          <w:sz w:val="28"/>
          <w:szCs w:val="28"/>
        </w:rPr>
        <w:t>刻正負責執行重大專案等</w:t>
      </w:r>
      <w:r w:rsidRPr="00D9686B">
        <w:rPr>
          <w:rFonts w:ascii="標楷體" w:eastAsia="標楷體" w:hAnsi="標楷體" w:hint="eastAsia"/>
          <w:sz w:val="28"/>
          <w:szCs w:val="28"/>
        </w:rPr>
        <w:t>特殊情形，經簽奉核准不調任者。</w:t>
      </w:r>
    </w:p>
    <w:p w:rsidR="0057685E" w:rsidRDefault="0057685E" w:rsidP="0057685E">
      <w:pPr>
        <w:pStyle w:val="a3"/>
        <w:ind w:leftChars="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(三)</w:t>
      </w:r>
      <w:r w:rsidRPr="00D9686B">
        <w:rPr>
          <w:rFonts w:ascii="標楷體" w:eastAsia="標楷體" w:hAnsi="標楷體" w:hint="eastAsia"/>
          <w:sz w:val="28"/>
          <w:szCs w:val="28"/>
        </w:rPr>
        <w:t>三年內將屆齡退休者。</w:t>
      </w:r>
    </w:p>
    <w:p w:rsidR="0057685E" w:rsidRDefault="0057685E" w:rsidP="0057685E">
      <w:pPr>
        <w:spacing w:line="480" w:lineRule="exact"/>
        <w:ind w:left="546" w:hangingChars="195" w:hanging="5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0B5030">
        <w:rPr>
          <w:rFonts w:ascii="標楷體" w:eastAsia="標楷體" w:hAnsi="標楷體" w:hint="eastAsia"/>
          <w:sz w:val="28"/>
          <w:szCs w:val="28"/>
        </w:rPr>
        <w:t>各一級機關及區公所應將遷調結果(含所屬二級機關、學校)於每年九月底前報府，並由本府人事處檢討執行成效。</w:t>
      </w:r>
    </w:p>
    <w:p w:rsidR="0057685E" w:rsidRDefault="0057685E" w:rsidP="0057685E">
      <w:pPr>
        <w:spacing w:line="480" w:lineRule="exact"/>
        <w:ind w:left="546" w:hangingChars="195" w:hanging="5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0B5030">
        <w:rPr>
          <w:rFonts w:ascii="標楷體" w:eastAsia="標楷體" w:hAnsi="標楷體" w:hint="eastAsia"/>
          <w:sz w:val="28"/>
          <w:szCs w:val="28"/>
        </w:rPr>
        <w:t>各機關就同一職務服務達到檢討期限之人員，應就其工作狀況、體能、工作績效及發展潛能等項綜合考評，如係主管職務並應評核其領導能力，再據以辦理遷調。</w:t>
      </w:r>
    </w:p>
    <w:p w:rsidR="0057685E" w:rsidRDefault="0057685E" w:rsidP="0057685E">
      <w:pPr>
        <w:spacing w:line="480" w:lineRule="exact"/>
        <w:ind w:left="546" w:hangingChars="195" w:hanging="5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0B5030">
        <w:rPr>
          <w:rFonts w:ascii="標楷體" w:eastAsia="標楷體" w:hAnsi="標楷體" w:hint="eastAsia"/>
          <w:sz w:val="28"/>
          <w:szCs w:val="28"/>
        </w:rPr>
        <w:t>各機關可就其業務性質，針對內勤、外勤、基層、幕僚或業務執行之各項職務，鼓勵所屬人員輪調，以加強職務歷練，擴大人才交流。</w:t>
      </w:r>
    </w:p>
    <w:p w:rsidR="0057685E" w:rsidRDefault="0057685E" w:rsidP="0057685E">
      <w:pPr>
        <w:spacing w:line="480" w:lineRule="exact"/>
        <w:ind w:left="546" w:hangingChars="195" w:hanging="5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0B5030">
        <w:rPr>
          <w:rFonts w:ascii="標楷體" w:eastAsia="標楷體" w:hAnsi="標楷體" w:hint="eastAsia"/>
          <w:sz w:val="28"/>
          <w:szCs w:val="28"/>
        </w:rPr>
        <w:t>各機關為培育人才，有效運用人力，應加強辦理相關專業訓練課程，培養同仁取得其他職務之任用資格，使其透過培訓管道增加屬員遷調範圍，達成各種職務歷練之目的。</w:t>
      </w:r>
    </w:p>
    <w:p w:rsidR="0057685E" w:rsidRDefault="0057685E" w:rsidP="0057685E">
      <w:pPr>
        <w:spacing w:line="480" w:lineRule="exact"/>
        <w:ind w:left="546" w:hangingChars="195" w:hanging="5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0B5030">
        <w:rPr>
          <w:rFonts w:ascii="標楷體" w:eastAsia="標楷體" w:hAnsi="標楷體" w:hint="eastAsia"/>
          <w:sz w:val="28"/>
          <w:szCs w:val="28"/>
        </w:rPr>
        <w:t>本府所屬警察、人事、主計及政風人員之遷調，依各專屬人事法規辦理。</w:t>
      </w:r>
    </w:p>
    <w:p w:rsidR="0057685E" w:rsidRPr="0057685E" w:rsidRDefault="0057685E" w:rsidP="0057685E">
      <w:pPr>
        <w:spacing w:line="48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Pr="000B5030">
        <w:rPr>
          <w:rFonts w:ascii="標楷體" w:eastAsia="標楷體" w:hAnsi="標楷體" w:hint="eastAsia"/>
          <w:sz w:val="28"/>
          <w:szCs w:val="28"/>
        </w:rPr>
        <w:t>本市復興區公所所屬人員之</w:t>
      </w:r>
      <w:r w:rsidRPr="00D0105F">
        <w:rPr>
          <w:rFonts w:ascii="標楷體" w:eastAsia="標楷體" w:hAnsi="標楷體" w:hint="eastAsia"/>
          <w:sz w:val="28"/>
          <w:szCs w:val="28"/>
        </w:rPr>
        <w:t>職務</w:t>
      </w:r>
      <w:r w:rsidRPr="000B5030">
        <w:rPr>
          <w:rFonts w:ascii="標楷體" w:eastAsia="標楷體" w:hAnsi="標楷體" w:hint="eastAsia"/>
          <w:sz w:val="28"/>
          <w:szCs w:val="28"/>
        </w:rPr>
        <w:t>遷調，得參照本要點辦理。</w:t>
      </w:r>
    </w:p>
    <w:sectPr w:rsidR="0057685E" w:rsidRPr="005768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03C9F"/>
    <w:multiLevelType w:val="hybridMultilevel"/>
    <w:tmpl w:val="9F703DBA"/>
    <w:lvl w:ilvl="0" w:tplc="A002054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67D92E01"/>
    <w:multiLevelType w:val="hybridMultilevel"/>
    <w:tmpl w:val="03843ED0"/>
    <w:lvl w:ilvl="0" w:tplc="108292D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5E"/>
    <w:rsid w:val="0057685E"/>
    <w:rsid w:val="00E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85E"/>
    <w:pPr>
      <w:ind w:leftChars="200" w:left="480"/>
    </w:pPr>
  </w:style>
  <w:style w:type="table" w:styleId="a4">
    <w:name w:val="Table Grid"/>
    <w:basedOn w:val="a1"/>
    <w:rsid w:val="0057685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85E"/>
    <w:pPr>
      <w:ind w:leftChars="200" w:left="480"/>
    </w:pPr>
  </w:style>
  <w:style w:type="table" w:styleId="a4">
    <w:name w:val="Table Grid"/>
    <w:basedOn w:val="a1"/>
    <w:rsid w:val="0057685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815</Characters>
  <Application>Microsoft Office Word</Application>
  <DocSecurity>0</DocSecurity>
  <Lines>6</Lines>
  <Paragraphs>1</Paragraphs>
  <ScaleCrop>false</ScaleCrop>
  <Company>SYNNEX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蔡沛瑄</dc:creator>
  <cp:lastModifiedBy>蔡沛瑄</cp:lastModifiedBy>
  <cp:revision>1</cp:revision>
  <dcterms:created xsi:type="dcterms:W3CDTF">2015-08-14T05:04:00Z</dcterms:created>
  <dcterms:modified xsi:type="dcterms:W3CDTF">2015-08-14T05:10:00Z</dcterms:modified>
</cp:coreProperties>
</file>