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86" w:rsidRPr="005A7086" w:rsidRDefault="005A7086" w:rsidP="005A7086">
      <w:pPr>
        <w:spacing w:line="440" w:lineRule="exact"/>
        <w:ind w:right="1182"/>
        <w:jc w:val="center"/>
        <w:rPr>
          <w:rFonts w:ascii="標楷體" w:eastAsia="標楷體" w:hAnsi="標楷體"/>
          <w:b/>
          <w:color w:val="000080"/>
          <w:spacing w:val="20"/>
          <w:sz w:val="32"/>
          <w:szCs w:val="32"/>
        </w:rPr>
      </w:pPr>
      <w:bookmarkStart w:id="0" w:name="_Hlk509586665"/>
      <w:bookmarkEnd w:id="0"/>
      <w:r>
        <w:rPr>
          <w:rFonts w:ascii="標楷體" w:eastAsia="標楷體" w:hAnsi="標楷體" w:hint="eastAsia"/>
          <w:b/>
          <w:bCs/>
          <w:spacing w:val="17"/>
          <w:kern w:val="0"/>
          <w:sz w:val="28"/>
          <w:szCs w:val="28"/>
        </w:rPr>
        <w:t xml:space="preserve">     </w:t>
      </w:r>
      <w:bookmarkStart w:id="1" w:name="_GoBack"/>
      <w:r w:rsidRPr="005A7086">
        <w:rPr>
          <w:rFonts w:ascii="標楷體" w:eastAsia="標楷體" w:hAnsi="標楷體" w:hint="eastAsia"/>
          <w:b/>
          <w:bCs/>
          <w:spacing w:val="17"/>
          <w:kern w:val="0"/>
          <w:sz w:val="32"/>
          <w:szCs w:val="32"/>
        </w:rPr>
        <w:t>桃園市孔廟107年第一場祈福許願活動實施計畫</w:t>
      </w:r>
      <w:bookmarkEnd w:id="1"/>
    </w:p>
    <w:p w:rsidR="005A7086" w:rsidRPr="004870AD" w:rsidRDefault="005A7086" w:rsidP="005A7086">
      <w:pPr>
        <w:numPr>
          <w:ilvl w:val="0"/>
          <w:numId w:val="2"/>
        </w:num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緣起</w:t>
      </w:r>
      <w:r w:rsidR="006A1C8A">
        <w:rPr>
          <w:rFonts w:ascii="標楷體" w:eastAsia="標楷體" w:hAnsi="標楷體" w:hint="eastAsia"/>
          <w:sz w:val="28"/>
          <w:szCs w:val="28"/>
        </w:rPr>
        <w:t>：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孔子為萬世師表，於春秋時期開啟儒學之先河，講求仁愛的核心思想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撼動了整個中華文化歷史，其智慧的鋒芒承襲自六經，並傳授於</w:t>
      </w:r>
      <w:r w:rsidR="005A7086">
        <w:rPr>
          <w:rFonts w:ascii="標楷體" w:eastAsia="標楷體" w:hAnsi="標楷體" w:hint="eastAsia"/>
          <w:sz w:val="28"/>
          <w:szCs w:val="28"/>
        </w:rPr>
        <w:t>弟</w:t>
      </w:r>
      <w:r>
        <w:rPr>
          <w:rFonts w:ascii="標楷體" w:eastAsia="標楷體" w:hAnsi="標楷體" w:hint="eastAsia"/>
          <w:sz w:val="28"/>
          <w:szCs w:val="28"/>
        </w:rPr>
        <w:t>子，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A7086" w:rsidRPr="002F2D4B">
        <w:rPr>
          <w:rFonts w:ascii="標楷體" w:eastAsia="標楷體" w:hAnsi="標楷體" w:hint="eastAsia"/>
          <w:sz w:val="28"/>
          <w:szCs w:val="28"/>
        </w:rPr>
        <w:t>因此桃園孔廟的品牌圍繞著六經的價值，重現儒學的意義及影</w:t>
      </w:r>
      <w:r w:rsidR="005A7086" w:rsidRPr="005A7086">
        <w:rPr>
          <w:rFonts w:ascii="標楷體" w:eastAsia="標楷體" w:hAnsi="標楷體" w:hint="eastAsia"/>
          <w:sz w:val="28"/>
          <w:szCs w:val="28"/>
        </w:rPr>
        <w:t>響，並進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A7086" w:rsidRPr="005A7086">
        <w:rPr>
          <w:rFonts w:ascii="標楷體" w:eastAsia="標楷體" w:hAnsi="標楷體" w:hint="eastAsia"/>
          <w:sz w:val="28"/>
          <w:szCs w:val="28"/>
        </w:rPr>
        <w:t>一步發揚儒家文化。藉由品牌思維，結合孔廟祈福許願活動，讓孔廟蘊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A7086" w:rsidRPr="005A7086">
        <w:rPr>
          <w:rFonts w:ascii="標楷體" w:eastAsia="標楷體" w:hAnsi="標楷體" w:hint="eastAsia"/>
          <w:sz w:val="28"/>
          <w:szCs w:val="28"/>
        </w:rPr>
        <w:t>含的文化理念清晰且明確地傳達給大眾，更有助於推展桃園的觀光與文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A7086" w:rsidRPr="005A7086">
        <w:rPr>
          <w:rFonts w:ascii="標楷體" w:eastAsia="標楷體" w:hAnsi="標楷體" w:hint="eastAsia"/>
          <w:sz w:val="28"/>
          <w:szCs w:val="28"/>
        </w:rPr>
        <w:t>化創意產業。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color w:val="000000"/>
          <w:kern w:val="24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       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桃園市孔廟歷年來為考生辦理祈福許願活動頗受好評，本次為服務更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color w:val="000000"/>
          <w:kern w:val="24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    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多考生及普羅大眾，特別規畫「勇闖試關、金榜題名</w:t>
      </w:r>
      <w:r w:rsidR="005A7086" w:rsidRPr="004870AD">
        <w:rPr>
          <w:rFonts w:hint="eastAsia"/>
          <w:color w:val="000000"/>
          <w:kern w:val="24"/>
          <w:sz w:val="28"/>
          <w:szCs w:val="28"/>
        </w:rPr>
        <w:t>」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創意活動，有莊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color w:val="000000"/>
          <w:kern w:val="24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    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重的祈福活動儀式，介紹桃園孔廟文化的闖關遊戲，還有富有創意巧思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color w:val="000000"/>
          <w:kern w:val="24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    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的宣導品及活潑生動的偶團表演，整體行銷桃園孔廟，讓考生參與活動</w:t>
      </w:r>
    </w:p>
    <w:p w:rsidR="005A7086" w:rsidRPr="005A7086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    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的過程中，達到寓教於樂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的效果。</w:t>
      </w:r>
    </w:p>
    <w:p w:rsidR="005A7086" w:rsidRPr="004870AD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kern w:val="0"/>
          <w:sz w:val="28"/>
          <w:szCs w:val="28"/>
        </w:rPr>
        <w:t>辦理時間：</w:t>
      </w:r>
      <w:r w:rsidRPr="004870AD">
        <w:rPr>
          <w:rFonts w:ascii="標楷體" w:eastAsia="標楷體" w:hAnsi="標楷體" w:hint="eastAsia"/>
          <w:spacing w:val="20"/>
          <w:sz w:val="28"/>
          <w:szCs w:val="28"/>
        </w:rPr>
        <w:t>107年4月28日（六）8：3</w:t>
      </w:r>
      <w:r w:rsidRPr="004870AD">
        <w:rPr>
          <w:rFonts w:ascii="標楷體" w:eastAsia="標楷體" w:hAnsi="標楷體"/>
          <w:spacing w:val="20"/>
          <w:sz w:val="28"/>
          <w:szCs w:val="28"/>
        </w:rPr>
        <w:t>0</w:t>
      </w:r>
      <w:r w:rsidRPr="004870AD">
        <w:rPr>
          <w:rFonts w:ascii="標楷體" w:eastAsia="標楷體" w:hAnsi="標楷體" w:hint="eastAsia"/>
          <w:spacing w:val="20"/>
          <w:sz w:val="28"/>
          <w:szCs w:val="28"/>
        </w:rPr>
        <w:t>～11：30</w:t>
      </w:r>
    </w:p>
    <w:p w:rsidR="005A7086" w:rsidRPr="002F2D4B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kern w:val="0"/>
          <w:sz w:val="28"/>
          <w:szCs w:val="28"/>
        </w:rPr>
        <w:t>辦理地點：</w:t>
      </w:r>
      <w:r w:rsidRPr="004870AD">
        <w:rPr>
          <w:rFonts w:ascii="標楷體" w:eastAsia="標楷體" w:hAnsi="標楷體" w:hint="eastAsia"/>
          <w:spacing w:val="20"/>
          <w:kern w:val="0"/>
          <w:sz w:val="28"/>
          <w:szCs w:val="28"/>
        </w:rPr>
        <w:t>桃園市</w:t>
      </w:r>
      <w:r w:rsidRPr="004870A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孔廟</w:t>
      </w:r>
      <w:r w:rsidRPr="004870AD">
        <w:rPr>
          <w:rFonts w:ascii="標楷體" w:eastAsia="標楷體" w:hAnsi="標楷體" w:hint="eastAsia"/>
          <w:spacing w:val="20"/>
          <w:sz w:val="28"/>
          <w:szCs w:val="28"/>
        </w:rPr>
        <w:t>大成殿廣場（迴廊）</w:t>
      </w:r>
    </w:p>
    <w:p w:rsidR="005A7086" w:rsidRPr="002F2D4B" w:rsidRDefault="002F2D4B" w:rsidP="002F2D4B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活動單位</w:t>
      </w:r>
      <w:r w:rsidRPr="004870AD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5A7086" w:rsidRPr="004870AD" w:rsidRDefault="005A7086" w:rsidP="002F2D4B">
      <w:pPr>
        <w:widowControl/>
        <w:numPr>
          <w:ilvl w:val="2"/>
          <w:numId w:val="2"/>
        </w:numPr>
        <w:spacing w:line="440" w:lineRule="exact"/>
        <w:ind w:left="1678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指導單位：桃園市政府</w:t>
      </w:r>
    </w:p>
    <w:p w:rsidR="005A7086" w:rsidRPr="004870AD" w:rsidRDefault="005A7086" w:rsidP="002F2D4B">
      <w:pPr>
        <w:widowControl/>
        <w:numPr>
          <w:ilvl w:val="2"/>
          <w:numId w:val="2"/>
        </w:numPr>
        <w:spacing w:line="440" w:lineRule="exact"/>
        <w:ind w:left="1678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主辦單位：桃園市政府民政局。</w:t>
      </w:r>
    </w:p>
    <w:p w:rsidR="005A7086" w:rsidRPr="004870AD" w:rsidRDefault="005A7086" w:rsidP="002F2D4B">
      <w:pPr>
        <w:widowControl/>
        <w:numPr>
          <w:ilvl w:val="2"/>
          <w:numId w:val="2"/>
        </w:numPr>
        <w:spacing w:line="440" w:lineRule="exact"/>
        <w:ind w:left="1678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承辦單位：桃園市政府孔廟忠烈祠聯合管理所。</w:t>
      </w:r>
    </w:p>
    <w:p w:rsidR="005A7086" w:rsidRPr="004870AD" w:rsidRDefault="005A7086" w:rsidP="002F2D4B">
      <w:pPr>
        <w:widowControl/>
        <w:numPr>
          <w:ilvl w:val="2"/>
          <w:numId w:val="2"/>
        </w:numPr>
        <w:spacing w:line="440" w:lineRule="exact"/>
        <w:ind w:left="1678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協辦單位：桃園市文山國民小學</w:t>
      </w:r>
      <w:r w:rsidR="00627D5F">
        <w:rPr>
          <w:rFonts w:ascii="標楷體" w:eastAsia="標楷體" w:hAnsi="標楷體" w:hint="eastAsia"/>
          <w:sz w:val="28"/>
          <w:szCs w:val="28"/>
        </w:rPr>
        <w:t>、立璿行銷有限公司</w:t>
      </w:r>
    </w:p>
    <w:p w:rsidR="005A7086" w:rsidRPr="004870AD" w:rsidRDefault="005A7086" w:rsidP="005A7086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受邀對象：</w:t>
      </w:r>
    </w:p>
    <w:p w:rsidR="005A7086" w:rsidRPr="004870AD" w:rsidRDefault="005A7086" w:rsidP="005A7086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本市市長、立法委員、議員、本府各局(處)首長、</w:t>
      </w:r>
      <w:r w:rsidR="00143EC7">
        <w:rPr>
          <w:rFonts w:ascii="標楷體" w:eastAsia="標楷體" w:hAnsi="標楷體" w:hint="eastAsia"/>
          <w:sz w:val="28"/>
          <w:szCs w:val="28"/>
        </w:rPr>
        <w:t>民政局二級機關主管、</w:t>
      </w:r>
      <w:r w:rsidRPr="004870AD">
        <w:rPr>
          <w:rFonts w:ascii="標楷體" w:eastAsia="標楷體" w:hAnsi="標楷體" w:hint="eastAsia"/>
          <w:sz w:val="28"/>
          <w:szCs w:val="28"/>
        </w:rPr>
        <w:t>鄰近里長</w:t>
      </w:r>
      <w:r w:rsidR="006A1C8A">
        <w:rPr>
          <w:rFonts w:ascii="標楷體" w:eastAsia="標楷體" w:hAnsi="標楷體" w:hint="eastAsia"/>
          <w:sz w:val="28"/>
          <w:szCs w:val="28"/>
        </w:rPr>
        <w:t>、鄰近國高中校長、高職校長</w:t>
      </w:r>
      <w:r w:rsidRPr="004870AD">
        <w:rPr>
          <w:rFonts w:ascii="標楷體" w:eastAsia="標楷體" w:hAnsi="標楷體" w:hint="eastAsia"/>
          <w:sz w:val="28"/>
          <w:szCs w:val="28"/>
        </w:rPr>
        <w:t>。</w:t>
      </w:r>
    </w:p>
    <w:p w:rsidR="005A7086" w:rsidRPr="004870AD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參加對象：各級學生及民眾免費報名參加。</w:t>
      </w:r>
    </w:p>
    <w:p w:rsidR="005A7086" w:rsidRPr="004870AD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報名方式：限額1000名，免費報名，額滿為止。(網站報名450名、電話或現場報名550名)</w:t>
      </w:r>
    </w:p>
    <w:p w:rsidR="005A7086" w:rsidRPr="004870AD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辦理方式</w:t>
      </w:r>
      <w:r w:rsidR="002F2D4B">
        <w:rPr>
          <w:rFonts w:ascii="標楷體" w:eastAsia="標楷體" w:hAnsi="標楷體" w:hint="eastAsia"/>
          <w:sz w:val="28"/>
          <w:szCs w:val="28"/>
        </w:rPr>
        <w:t>：</w:t>
      </w:r>
    </w:p>
    <w:p w:rsidR="002F2D4B" w:rsidRDefault="002F2D4B" w:rsidP="002F2D4B">
      <w:pPr>
        <w:spacing w:line="44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承上所述，為配合桃園孔廟整體品牌形象規劃，使社會大眾加深了解</w:t>
      </w:r>
    </w:p>
    <w:p w:rsidR="002F2D4B" w:rsidRDefault="002F2D4B" w:rsidP="002F2D4B">
      <w:pPr>
        <w:spacing w:line="44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桃園孔廟文化，並達到祈福許願之目的，本次結合孔廟資源設計闖關遊</w:t>
      </w:r>
    </w:p>
    <w:p w:rsidR="002F2D4B" w:rsidRDefault="002F2D4B" w:rsidP="002F2D4B">
      <w:pPr>
        <w:spacing w:line="44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戲，邀請</w:t>
      </w:r>
      <w:r w:rsidR="00627D5F">
        <w:rPr>
          <w:rFonts w:ascii="標楷體" w:eastAsia="標楷體" w:hAnsi="標楷體" w:hint="eastAsia"/>
          <w:sz w:val="28"/>
          <w:szCs w:val="28"/>
        </w:rPr>
        <w:t>文山創意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偶團演出並提供手作DIY體驗，主要活動項目分述</w:t>
      </w:r>
      <w:r>
        <w:rPr>
          <w:rFonts w:ascii="標楷體" w:eastAsia="標楷體" w:hAnsi="標楷體" w:hint="eastAsia"/>
          <w:sz w:val="28"/>
          <w:szCs w:val="28"/>
        </w:rPr>
        <w:t xml:space="preserve">如   </w:t>
      </w:r>
    </w:p>
    <w:p w:rsidR="002F2D4B" w:rsidRPr="004870AD" w:rsidRDefault="002F2D4B" w:rsidP="002F2D4B">
      <w:pPr>
        <w:spacing w:line="44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下：</w:t>
      </w:r>
    </w:p>
    <w:p w:rsidR="005A7086" w:rsidRPr="004870AD" w:rsidRDefault="005A7086" w:rsidP="005A7086">
      <w:pPr>
        <w:numPr>
          <w:ilvl w:val="0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lastRenderedPageBreak/>
        <w:t>祈福許願活動：</w:t>
      </w:r>
    </w:p>
    <w:p w:rsidR="005A7086" w:rsidRPr="004870AD" w:rsidRDefault="005A7086" w:rsidP="00FC20AA">
      <w:pPr>
        <w:spacing w:beforeLines="30" w:before="108" w:line="440" w:lineRule="exact"/>
        <w:ind w:left="1335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孔廟準備象徵聰明（蔥）、勤勞（芹菜）、好彩頭（菜頭）及包高中（包子、糕、粽子）高中等祭品，為學生增添信心，並於大成殿週遭張貼金榜提名榜單，可供考生填寫心目中理想志願，並由考生向孔夫子行鞠躬禮，勉勵考生勤奮用功、試試順利。</w:t>
      </w:r>
    </w:p>
    <w:p w:rsidR="005A7086" w:rsidRPr="004870AD" w:rsidRDefault="005A7086" w:rsidP="005A7086">
      <w:pPr>
        <w:numPr>
          <w:ilvl w:val="0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闖關遊戲：</w:t>
      </w:r>
    </w:p>
    <w:p w:rsidR="005A7086" w:rsidRPr="004870AD" w:rsidRDefault="005A7086" w:rsidP="005A7086">
      <w:pPr>
        <w:spacing w:beforeLines="30" w:before="108" w:line="440" w:lineRule="exact"/>
        <w:ind w:left="1335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本次結合桃園孔廟品牌規畫之輔助視覺形象：詩、書、禮、樂，分別為推廣孔廟文化，以孔廟大成殿四週設立四處服務區，分別為：</w:t>
      </w:r>
    </w:p>
    <w:p w:rsidR="005A7086" w:rsidRPr="004870AD" w:rsidRDefault="005A7086" w:rsidP="005A7086">
      <w:pPr>
        <w:numPr>
          <w:ilvl w:val="1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詩─真摯─文字─填寫完活動問卷調查表及可蓋章。</w:t>
      </w:r>
    </w:p>
    <w:p w:rsidR="005A7086" w:rsidRPr="004870AD" w:rsidRDefault="005A7086" w:rsidP="005A7086">
      <w:pPr>
        <w:numPr>
          <w:ilvl w:val="1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書─德性─孔廟文化─製作6個孔廟知識相關問題，並另設置9面孔廟小知識牌供民眾查詢，認識孔廟文化，待答出正確答案後即可蓋章。</w:t>
      </w:r>
    </w:p>
    <w:p w:rsidR="005A7086" w:rsidRPr="004870AD" w:rsidRDefault="005A7086" w:rsidP="005A7086">
      <w:pPr>
        <w:numPr>
          <w:ilvl w:val="1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禮─秩序─知書達禮─祈福許願儀式─於大成殿祈福許願後於祈願卡上寫下誠心所祈願之事，填寫完畢後即可蓋章。</w:t>
      </w:r>
    </w:p>
    <w:p w:rsidR="005A7086" w:rsidRPr="004870AD" w:rsidRDefault="005A7086" w:rsidP="005A7086">
      <w:pPr>
        <w:numPr>
          <w:ilvl w:val="1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樂─音樂、旋律─孔廟樂器─為提供大眾認識孔廟樂器，本關提供10種樂器並製作樂器小卡，待民眾抽取小卡後，必須至孔廟裡找到樂器實體拍照後打卡。</w:t>
      </w:r>
    </w:p>
    <w:p w:rsidR="005A7086" w:rsidRPr="004870AD" w:rsidRDefault="005A7086" w:rsidP="005A7086">
      <w:pPr>
        <w:spacing w:beforeLines="30" w:before="108" w:line="440" w:lineRule="exact"/>
        <w:ind w:left="1455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通過以上四關並蓋章，憑蓋滿印章之闖關卡可於服務台兌換祈福許願宣導品一份。</w:t>
      </w:r>
    </w:p>
    <w:p w:rsidR="005A7086" w:rsidRPr="004870AD" w:rsidRDefault="00627D5F" w:rsidP="005A7086">
      <w:pPr>
        <w:numPr>
          <w:ilvl w:val="0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文山創意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偶團演出：</w:t>
      </w:r>
    </w:p>
    <w:p w:rsidR="005A7086" w:rsidRPr="004870AD" w:rsidRDefault="005A7086" w:rsidP="005A7086">
      <w:pPr>
        <w:spacing w:beforeLines="30" w:before="108" w:line="440" w:lineRule="exact"/>
        <w:ind w:left="1335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本次邀請文山國小創意偶團演出，文山國小位於桃園區的都會中心，也是文教精華區，校風純樸，學生文質彬彬，愛讀書，愛音樂，愛演戲；以藝術教育為特色的學校，本次配合海洋教育議題演出「藍海珍珠」，帶來耳目一新的表演。</w:t>
      </w:r>
    </w:p>
    <w:p w:rsidR="005A7086" w:rsidRPr="004870AD" w:rsidRDefault="005A7086" w:rsidP="005A7086">
      <w:pPr>
        <w:numPr>
          <w:ilvl w:val="0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手做DIY體驗：</w:t>
      </w:r>
    </w:p>
    <w:p w:rsidR="005A7086" w:rsidRDefault="005A7086" w:rsidP="005A7086">
      <w:pPr>
        <w:spacing w:beforeLines="30" w:before="108" w:line="440" w:lineRule="exact"/>
        <w:ind w:left="1335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依據本次桃園孔廟祈福許願活動主題規劃DIY體驗，本次主題規劃官帽摺紙與書法揮毫，讓參與民眾於孔廟內體驗中華文化，達到寓教於樂的效果。</w:t>
      </w:r>
    </w:p>
    <w:p w:rsidR="00FC20AA" w:rsidRDefault="00FC20AA" w:rsidP="005A7086">
      <w:pPr>
        <w:spacing w:beforeLines="30" w:before="108" w:line="440" w:lineRule="exact"/>
        <w:ind w:left="1335"/>
        <w:rPr>
          <w:rFonts w:ascii="標楷體" w:eastAsia="標楷體" w:hAnsi="標楷體"/>
          <w:sz w:val="28"/>
          <w:szCs w:val="28"/>
        </w:rPr>
      </w:pPr>
    </w:p>
    <w:p w:rsidR="005A7086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pacing w:val="20"/>
          <w:kern w:val="0"/>
          <w:sz w:val="28"/>
          <w:szCs w:val="28"/>
        </w:rPr>
        <w:lastRenderedPageBreak/>
        <w:t>活動流程：</w:t>
      </w:r>
    </w:p>
    <w:p w:rsidR="005A7086" w:rsidRDefault="005A7086" w:rsidP="005A7086">
      <w:pPr>
        <w:widowControl/>
        <w:spacing w:beforeLines="30" w:before="108" w:line="440" w:lineRule="exact"/>
        <w:ind w:left="720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pacing w:val="2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76835</wp:posOffset>
            </wp:positionV>
            <wp:extent cx="5009515" cy="2505075"/>
            <wp:effectExtent l="0" t="0" r="635" b="9525"/>
            <wp:wrapSquare wrapText="bothSides"/>
            <wp:docPr id="3" name="圖片 3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10443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086" w:rsidRDefault="005A7086" w:rsidP="005A7086">
      <w:pPr>
        <w:widowControl/>
        <w:spacing w:beforeLines="30" w:before="108" w:line="440" w:lineRule="exact"/>
        <w:ind w:left="720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</w:p>
    <w:p w:rsidR="005A7086" w:rsidRDefault="005A7086" w:rsidP="005A7086">
      <w:pPr>
        <w:widowControl/>
        <w:spacing w:beforeLines="30" w:before="108" w:line="440" w:lineRule="exact"/>
        <w:ind w:left="720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</w:p>
    <w:p w:rsidR="005A7086" w:rsidRDefault="005A7086" w:rsidP="005A7086">
      <w:pPr>
        <w:widowControl/>
        <w:spacing w:beforeLines="30" w:before="108" w:line="440" w:lineRule="exact"/>
        <w:ind w:left="720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</w:p>
    <w:p w:rsidR="005A7086" w:rsidRPr="005A7086" w:rsidRDefault="005A7086" w:rsidP="005A7086">
      <w:pPr>
        <w:widowControl/>
        <w:spacing w:beforeLines="30" w:before="108" w:line="440" w:lineRule="exact"/>
        <w:ind w:left="720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</w:p>
    <w:p w:rsidR="005A7086" w:rsidRPr="005A7086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pacing w:val="2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7EE642" wp14:editId="36543197">
            <wp:simplePos x="0" y="0"/>
            <wp:positionH relativeFrom="margin">
              <wp:posOffset>123825</wp:posOffset>
            </wp:positionH>
            <wp:positionV relativeFrom="paragraph">
              <wp:posOffset>1203325</wp:posOffset>
            </wp:positionV>
            <wp:extent cx="5057775" cy="5001260"/>
            <wp:effectExtent l="0" t="0" r="9525" b="8890"/>
            <wp:wrapSquare wrapText="bothSides"/>
            <wp:docPr id="4" name="圖片 4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02BB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Cs/>
          <w:spacing w:val="20"/>
          <w:kern w:val="0"/>
          <w:sz w:val="28"/>
          <w:szCs w:val="28"/>
        </w:rPr>
        <w:t>活動場地配置：</w:t>
      </w: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660C03">
      <w:pPr>
        <w:widowControl/>
        <w:spacing w:beforeLines="30" w:before="108"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5A7086" w:rsidRPr="00660C03" w:rsidRDefault="005A7086" w:rsidP="00660C03">
      <w:pPr>
        <w:widowControl/>
        <w:numPr>
          <w:ilvl w:val="0"/>
          <w:numId w:val="2"/>
        </w:numPr>
        <w:spacing w:beforeLines="30" w:before="108" w:line="440" w:lineRule="exact"/>
        <w:ind w:left="709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660C03">
        <w:rPr>
          <w:rFonts w:ascii="標楷體" w:eastAsia="標楷體" w:hAnsi="標楷體" w:hint="eastAsia"/>
          <w:sz w:val="28"/>
        </w:rPr>
        <w:t>本計畫如有未盡事宜，得隨時修訂之。</w:t>
      </w:r>
    </w:p>
    <w:sectPr w:rsidR="005A7086" w:rsidRPr="00660C03" w:rsidSect="006A1C8A">
      <w:pgSz w:w="11906" w:h="16838"/>
      <w:pgMar w:top="851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26D" w:rsidRDefault="00D5526D" w:rsidP="00143EC7">
      <w:r>
        <w:separator/>
      </w:r>
    </w:p>
  </w:endnote>
  <w:endnote w:type="continuationSeparator" w:id="0">
    <w:p w:rsidR="00D5526D" w:rsidRDefault="00D5526D" w:rsidP="001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26D" w:rsidRDefault="00D5526D" w:rsidP="00143EC7">
      <w:r>
        <w:separator/>
      </w:r>
    </w:p>
  </w:footnote>
  <w:footnote w:type="continuationSeparator" w:id="0">
    <w:p w:rsidR="00D5526D" w:rsidRDefault="00D5526D" w:rsidP="0014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5012"/>
    <w:multiLevelType w:val="hybridMultilevel"/>
    <w:tmpl w:val="D7C8B89E"/>
    <w:lvl w:ilvl="0" w:tplc="3098B0AA">
      <w:start w:val="1"/>
      <w:numFmt w:val="ideographZodiac"/>
      <w:lvlText w:val="%1，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2ED37F60"/>
    <w:multiLevelType w:val="hybridMultilevel"/>
    <w:tmpl w:val="7B201170"/>
    <w:lvl w:ilvl="0" w:tplc="EC8EB5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3945CE0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0B4A4D"/>
    <w:multiLevelType w:val="hybridMultilevel"/>
    <w:tmpl w:val="FDE4D7F2"/>
    <w:lvl w:ilvl="0" w:tplc="D03067AE">
      <w:start w:val="1"/>
      <w:numFmt w:val="taiwaneseCountingThousand"/>
      <w:lvlText w:val="(%1)"/>
      <w:lvlJc w:val="left"/>
      <w:pPr>
        <w:ind w:left="1335" w:hanging="720"/>
      </w:pPr>
      <w:rPr>
        <w:rFonts w:hint="default"/>
      </w:rPr>
    </w:lvl>
    <w:lvl w:ilvl="1" w:tplc="0A62BDC4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86"/>
    <w:rsid w:val="00027815"/>
    <w:rsid w:val="0005532E"/>
    <w:rsid w:val="00143EC7"/>
    <w:rsid w:val="002230C4"/>
    <w:rsid w:val="002851BF"/>
    <w:rsid w:val="002A16C4"/>
    <w:rsid w:val="002B5A0B"/>
    <w:rsid w:val="002F2D4B"/>
    <w:rsid w:val="003144E5"/>
    <w:rsid w:val="003261C6"/>
    <w:rsid w:val="00371FDD"/>
    <w:rsid w:val="00387969"/>
    <w:rsid w:val="004F78DC"/>
    <w:rsid w:val="00505655"/>
    <w:rsid w:val="005A7086"/>
    <w:rsid w:val="005E7D00"/>
    <w:rsid w:val="00627D5F"/>
    <w:rsid w:val="00660C03"/>
    <w:rsid w:val="006A1C8A"/>
    <w:rsid w:val="00911792"/>
    <w:rsid w:val="009A324C"/>
    <w:rsid w:val="009E5156"/>
    <w:rsid w:val="00CD4378"/>
    <w:rsid w:val="00D5526D"/>
    <w:rsid w:val="00D56FF3"/>
    <w:rsid w:val="00E04117"/>
    <w:rsid w:val="00EC2B10"/>
    <w:rsid w:val="00F17C0F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67316-C602-4E13-8461-DA963D11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70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5A708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43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3EC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3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3E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2018-04-02T01:58:00Z</dcterms:created>
  <dcterms:modified xsi:type="dcterms:W3CDTF">2018-04-02T01:58:00Z</dcterms:modified>
</cp:coreProperties>
</file>