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48" w:rsidRDefault="00865E3F">
      <w:pPr>
        <w:pStyle w:val="Standard"/>
        <w:spacing w:line="460" w:lineRule="exact"/>
        <w:jc w:val="center"/>
        <w:rPr>
          <w:rFonts w:ascii="標楷體" w:eastAsia="標楷體" w:hAnsi="標楷體" w:cs="標楷體"/>
          <w:b/>
          <w:color w:val="000000"/>
          <w:sz w:val="40"/>
          <w:szCs w:val="40"/>
        </w:rPr>
      </w:pPr>
      <w:bookmarkStart w:id="0" w:name="_GoBack"/>
      <w:r>
        <w:rPr>
          <w:rFonts w:ascii="標楷體" w:eastAsia="標楷體" w:hAnsi="標楷體" w:cs="標楷體"/>
          <w:b/>
          <w:color w:val="000000"/>
          <w:sz w:val="40"/>
          <w:szCs w:val="40"/>
        </w:rPr>
        <w:t>高級中等學校免試入學作業要點訂定應遵行事項</w:t>
      </w:r>
    </w:p>
    <w:p w:rsidR="008B7B48" w:rsidRDefault="00865E3F">
      <w:pPr>
        <w:pStyle w:val="Standard"/>
        <w:spacing w:line="460" w:lineRule="exact"/>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第四點、第七點修正規定</w:t>
      </w:r>
    </w:p>
    <w:bookmarkEnd w:id="0"/>
    <w:p w:rsidR="008B7B48" w:rsidRDefault="008B7B48">
      <w:pPr>
        <w:pStyle w:val="Standard"/>
        <w:spacing w:line="460" w:lineRule="exact"/>
        <w:jc w:val="center"/>
        <w:rPr>
          <w:rFonts w:ascii="標楷體" w:eastAsia="標楷體" w:hAnsi="標楷體" w:cs="標楷體"/>
          <w:b/>
          <w:color w:val="000000"/>
          <w:sz w:val="28"/>
          <w:szCs w:val="28"/>
        </w:rPr>
      </w:pP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四、前點第七款比序項目及運作模式，應符合下列規定：</w:t>
      </w:r>
    </w:p>
    <w:p w:rsidR="008B7B48" w:rsidRDefault="00865E3F">
      <w:pPr>
        <w:pStyle w:val="Standard"/>
        <w:spacing w:line="460" w:lineRule="exact"/>
        <w:ind w:left="1840" w:right="24" w:hanging="1274"/>
        <w:jc w:val="both"/>
        <w:rPr>
          <w:rFonts w:ascii="標楷體" w:eastAsia="標楷體" w:hAnsi="標楷體" w:cs="標楷體"/>
          <w:color w:val="000000"/>
          <w:sz w:val="28"/>
          <w:szCs w:val="28"/>
        </w:rPr>
      </w:pPr>
      <w:r>
        <w:rPr>
          <w:rFonts w:ascii="標楷體" w:eastAsia="標楷體" w:hAnsi="標楷體" w:cs="標楷體"/>
          <w:color w:val="000000"/>
          <w:sz w:val="28"/>
          <w:szCs w:val="28"/>
        </w:rPr>
        <w:t>（一）符合教育性、公平性、可操作性原則，規定如下：</w:t>
      </w:r>
    </w:p>
    <w:p w:rsidR="008B7B48" w:rsidRDefault="00865E3F">
      <w:pPr>
        <w:pStyle w:val="Standard"/>
        <w:spacing w:line="460" w:lineRule="exact"/>
        <w:ind w:left="1838" w:right="24" w:hanging="420"/>
        <w:jc w:val="both"/>
      </w:pPr>
      <w:r>
        <w:rPr>
          <w:rFonts w:ascii="標楷體" w:eastAsia="標楷體" w:hAnsi="標楷體" w:cs="標楷體"/>
          <w:color w:val="000000"/>
          <w:sz w:val="28"/>
          <w:szCs w:val="28"/>
        </w:rPr>
        <w:t>1</w:t>
      </w:r>
      <w:r>
        <w:rPr>
          <w:rFonts w:ascii="標楷體" w:eastAsia="標楷體" w:hAnsi="標楷體" w:cs="標楷體"/>
          <w:color w:val="000000"/>
          <w:sz w:val="28"/>
          <w:szCs w:val="28"/>
        </w:rPr>
        <w:t>、教育性：比序項目應符合教育目標，如培養五育均衡發展、重視學生多元智能、舒緩升學壓力，以</w:t>
      </w:r>
      <w:r>
        <w:rPr>
          <w:rFonts w:ascii="標楷體" w:eastAsia="標楷體" w:hAnsi="標楷體" w:cs="細明體, MingLiU"/>
          <w:color w:val="000000"/>
          <w:sz w:val="28"/>
          <w:szCs w:val="28"/>
        </w:rPr>
        <w:t>達成</w:t>
      </w:r>
      <w:r>
        <w:rPr>
          <w:rFonts w:ascii="標楷體" w:eastAsia="標楷體" w:hAnsi="標楷體" w:cs="標楷體"/>
          <w:color w:val="000000"/>
          <w:sz w:val="28"/>
          <w:szCs w:val="28"/>
        </w:rPr>
        <w:t>學生適性發展。</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、公平性：比序項目應符合公平原則，促進教育機會均等。</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、可操作性：比序項目應兼顧入學管道之可行性及完整性。</w:t>
      </w:r>
    </w:p>
    <w:p w:rsidR="008B7B48" w:rsidRDefault="00865E3F">
      <w:pPr>
        <w:pStyle w:val="Standard"/>
        <w:spacing w:line="460" w:lineRule="exact"/>
        <w:ind w:left="1840" w:right="24" w:hanging="1274"/>
        <w:jc w:val="both"/>
        <w:rPr>
          <w:rFonts w:ascii="標楷體" w:eastAsia="標楷體" w:hAnsi="標楷體" w:cs="標楷體"/>
          <w:color w:val="000000"/>
          <w:sz w:val="28"/>
          <w:szCs w:val="28"/>
        </w:rPr>
      </w:pPr>
      <w:r>
        <w:rPr>
          <w:rFonts w:ascii="標楷體" w:eastAsia="標楷體" w:hAnsi="標楷體" w:cs="標楷體"/>
          <w:color w:val="000000"/>
          <w:sz w:val="28"/>
          <w:szCs w:val="28"/>
        </w:rPr>
        <w:t>（二）國中教育會考項目：</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、是否採計由各區因地制宜。但不得列為唯一項目，應搭配其他比序項目整體規劃。</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超額比序項目包括國中教育會考總標示（總積點）者，其順次應置於多元學習表現項目總積分之後，並置於國中教育會考各科標示比序之前；比序項目包括國中教育會考三等級總積分者，總標示（總積點）並應置於三等級總積分之後。</w:t>
      </w:r>
    </w:p>
    <w:p w:rsidR="008B7B48" w:rsidRDefault="00865E3F">
      <w:pPr>
        <w:pStyle w:val="Standard"/>
        <w:spacing w:line="460" w:lineRule="exact"/>
        <w:ind w:left="1840" w:right="24" w:hanging="1274"/>
        <w:jc w:val="both"/>
        <w:rPr>
          <w:rFonts w:ascii="標楷體" w:eastAsia="標楷體" w:hAnsi="標楷體" w:cs="標楷體"/>
          <w:color w:val="000000"/>
          <w:sz w:val="28"/>
          <w:szCs w:val="28"/>
        </w:rPr>
      </w:pPr>
      <w:r>
        <w:rPr>
          <w:rFonts w:ascii="標楷體" w:eastAsia="標楷體" w:hAnsi="標楷體" w:cs="標楷體"/>
          <w:color w:val="000000"/>
          <w:sz w:val="28"/>
          <w:szCs w:val="28"/>
        </w:rPr>
        <w:t>（三）志願序項目：</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、普通型高級中等學校以校為原則；技術型高級中等學校得以校、群、科為志願序。</w:t>
      </w:r>
    </w:p>
    <w:p w:rsidR="008B7B48" w:rsidRDefault="00865E3F">
      <w:pPr>
        <w:pStyle w:val="Standard"/>
        <w:spacing w:line="460" w:lineRule="exact"/>
        <w:ind w:left="1838" w:right="24"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、是否採計由各區因地制宜考量；採計志願序</w:t>
      </w:r>
      <w:r>
        <w:rPr>
          <w:rFonts w:ascii="標楷體" w:eastAsia="標楷體" w:hAnsi="標楷體" w:cs="標楷體"/>
          <w:color w:val="000000"/>
          <w:sz w:val="28"/>
          <w:szCs w:val="28"/>
        </w:rPr>
        <w:t>者，以群組計分為原則，高低分積分差異不宜過大。</w:t>
      </w:r>
    </w:p>
    <w:p w:rsidR="008B7B48" w:rsidRDefault="00865E3F">
      <w:pPr>
        <w:pStyle w:val="Standard"/>
        <w:spacing w:line="460" w:lineRule="exact"/>
        <w:ind w:left="1840" w:right="24" w:hanging="1274"/>
        <w:jc w:val="both"/>
        <w:rPr>
          <w:rFonts w:ascii="標楷體" w:eastAsia="標楷體" w:hAnsi="標楷體" w:cs="標楷體"/>
          <w:color w:val="000000"/>
          <w:sz w:val="28"/>
          <w:szCs w:val="28"/>
        </w:rPr>
      </w:pPr>
      <w:r>
        <w:rPr>
          <w:rFonts w:ascii="標楷體" w:eastAsia="標楷體" w:hAnsi="標楷體" w:cs="標楷體"/>
          <w:color w:val="000000"/>
          <w:sz w:val="28"/>
          <w:szCs w:val="28"/>
        </w:rPr>
        <w:t>（四）多元學習表現項目採計原則如附件。</w:t>
      </w:r>
    </w:p>
    <w:p w:rsidR="008B7B48" w:rsidRDefault="008B7B48">
      <w:pPr>
        <w:pStyle w:val="Standard"/>
        <w:spacing w:line="460" w:lineRule="exact"/>
        <w:rPr>
          <w:rFonts w:ascii="標楷體" w:eastAsia="標楷體" w:hAnsi="標楷體" w:cs="標楷體"/>
          <w:color w:val="000000"/>
          <w:sz w:val="28"/>
          <w:szCs w:val="28"/>
        </w:rPr>
      </w:pP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七、技藝技能優良學生甄審入學、國中技藝教育課程（班）畢業生分發實用技能學程（班）、建教合作班、技術型及單科型高級中等學校單獨辦理免試招生、身心障礙學生入學等，得由各主管機關另定招生方式及其他應遵行事項。</w:t>
      </w:r>
    </w:p>
    <w:p w:rsidR="008B7B48" w:rsidRDefault="00865E3F">
      <w:pPr>
        <w:pStyle w:val="Standard"/>
        <w:pageBreakBefore/>
        <w:spacing w:line="460" w:lineRule="exact"/>
        <w:jc w:val="center"/>
        <w:rPr>
          <w:rFonts w:ascii="標楷體" w:eastAsia="標楷體" w:hAnsi="標楷體" w:cs="標楷體"/>
          <w:b/>
          <w:color w:val="000000"/>
          <w:sz w:val="40"/>
          <w:szCs w:val="40"/>
        </w:rPr>
      </w:pPr>
      <w:r>
        <w:rPr>
          <w:rFonts w:ascii="標楷體" w:eastAsia="標楷體" w:hAnsi="標楷體" w:cs="標楷體"/>
          <w:b/>
          <w:color w:val="000000"/>
          <w:sz w:val="40"/>
          <w:szCs w:val="40"/>
        </w:rPr>
        <w:lastRenderedPageBreak/>
        <w:t>第四點附件：多元學習表現項目採計原則</w:t>
      </w:r>
    </w:p>
    <w:p w:rsidR="008B7B48" w:rsidRDefault="00865E3F">
      <w:pPr>
        <w:pStyle w:val="Standard"/>
        <w:spacing w:line="460" w:lineRule="exact"/>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修正規定</w:t>
      </w:r>
    </w:p>
    <w:p w:rsidR="008B7B48" w:rsidRDefault="00865E3F">
      <w:pPr>
        <w:pStyle w:val="Standard"/>
        <w:spacing w:line="460" w:lineRule="exact"/>
        <w:ind w:left="566" w:hanging="566"/>
        <w:rPr>
          <w:rFonts w:ascii="標楷體" w:eastAsia="標楷體" w:hAnsi="標楷體" w:cs="標楷體"/>
          <w:bCs/>
          <w:color w:val="000000"/>
          <w:sz w:val="28"/>
          <w:szCs w:val="28"/>
        </w:rPr>
      </w:pPr>
      <w:r>
        <w:rPr>
          <w:rFonts w:ascii="標楷體" w:eastAsia="標楷體" w:hAnsi="標楷體" w:cs="標楷體"/>
          <w:bCs/>
          <w:color w:val="000000"/>
          <w:sz w:val="28"/>
          <w:szCs w:val="28"/>
        </w:rPr>
        <w:t>一、各就學區（以下簡稱各區）訂定多元學習表現規範時，應符合下列原則：</w:t>
      </w:r>
    </w:p>
    <w:p w:rsidR="008B7B48" w:rsidRDefault="00865E3F">
      <w:pPr>
        <w:pStyle w:val="Standard"/>
        <w:snapToGrid w:val="0"/>
        <w:spacing w:line="460" w:lineRule="exact"/>
        <w:ind w:right="-82" w:firstLine="566"/>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（一）適性均衡：以學生皆可達成之學習目標，設定基本採計門檻。</w:t>
      </w:r>
    </w:p>
    <w:p w:rsidR="008B7B48" w:rsidRDefault="00865E3F">
      <w:pPr>
        <w:pStyle w:val="Standard"/>
        <w:snapToGrid w:val="0"/>
        <w:spacing w:line="460" w:lineRule="exact"/>
        <w:ind w:right="-82" w:firstLine="566"/>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（二）規範明確：</w:t>
      </w:r>
    </w:p>
    <w:p w:rsidR="008B7B48" w:rsidRDefault="00865E3F">
      <w:pPr>
        <w:pStyle w:val="Standard"/>
        <w:snapToGrid w:val="0"/>
        <w:spacing w:line="460" w:lineRule="exact"/>
        <w:ind w:left="1841" w:right="-82" w:hanging="423"/>
        <w:jc w:val="both"/>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、定義明確：</w:t>
      </w:r>
      <w:r>
        <w:rPr>
          <w:rFonts w:ascii="標楷體" w:eastAsia="標楷體" w:hAnsi="標楷體" w:cs="標楷體"/>
          <w:bCs/>
          <w:color w:val="000000"/>
          <w:sz w:val="28"/>
          <w:szCs w:val="28"/>
        </w:rPr>
        <w:t>述明採計項目及</w:t>
      </w:r>
      <w:r>
        <w:rPr>
          <w:rFonts w:ascii="標楷體" w:eastAsia="標楷體" w:hAnsi="標楷體" w:cs="標楷體"/>
          <w:bCs/>
          <w:color w:val="000000"/>
          <w:sz w:val="28"/>
          <w:szCs w:val="28"/>
        </w:rPr>
        <w:t>定義</w:t>
      </w:r>
      <w:r>
        <w:rPr>
          <w:rFonts w:ascii="標楷體" w:eastAsia="標楷體" w:hAnsi="標楷體" w:cs="標楷體"/>
          <w:bCs/>
          <w:color w:val="000000"/>
          <w:sz w:val="28"/>
          <w:szCs w:val="28"/>
        </w:rPr>
        <w:t>，由直轄市、縣</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市</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政府統一訂定並公告。</w:t>
      </w:r>
    </w:p>
    <w:p w:rsidR="008B7B48" w:rsidRDefault="00865E3F">
      <w:pPr>
        <w:pStyle w:val="Standard"/>
        <w:snapToGrid w:val="0"/>
        <w:spacing w:line="460" w:lineRule="exact"/>
        <w:ind w:left="1841" w:right="-82" w:hanging="42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、採計明確：同一事由同時獲得獎勵及其他超額比序採計項目分數時，以擇一方式計分，不重複給分。</w:t>
      </w:r>
    </w:p>
    <w:p w:rsidR="008B7B48" w:rsidRDefault="00865E3F">
      <w:pPr>
        <w:pStyle w:val="Standard"/>
        <w:snapToGrid w:val="0"/>
        <w:spacing w:line="460" w:lineRule="exact"/>
        <w:ind w:right="-82" w:firstLine="566"/>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（三）程序完備：各區研訂時應廣納各界意見，並定期檢討。</w:t>
      </w:r>
    </w:p>
    <w:p w:rsidR="008B7B48" w:rsidRDefault="00865E3F">
      <w:pPr>
        <w:pStyle w:val="Standard"/>
        <w:spacing w:line="460" w:lineRule="exact"/>
        <w:ind w:left="566" w:hanging="566"/>
        <w:rPr>
          <w:rFonts w:ascii="標楷體" w:eastAsia="標楷體" w:hAnsi="標楷體" w:cs="標楷體"/>
          <w:bCs/>
          <w:color w:val="000000"/>
          <w:sz w:val="28"/>
          <w:szCs w:val="28"/>
        </w:rPr>
      </w:pPr>
      <w:r>
        <w:rPr>
          <w:rFonts w:ascii="標楷體" w:eastAsia="標楷體" w:hAnsi="標楷體" w:cs="標楷體"/>
          <w:bCs/>
          <w:color w:val="000000"/>
          <w:sz w:val="28"/>
          <w:szCs w:val="28"/>
        </w:rPr>
        <w:t>二、「體適能」項目採計原則：</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（一）體適能檢測項目參照教育部（以下簡稱本部）公布之體適能常模，依不同性別及年齡，各單項檢測成績門檻標準如下：</w:t>
      </w:r>
    </w:p>
    <w:tbl>
      <w:tblPr>
        <w:tblW w:w="9535" w:type="dxa"/>
        <w:tblInd w:w="-118" w:type="dxa"/>
        <w:tblLayout w:type="fixed"/>
        <w:tblCellMar>
          <w:left w:w="10" w:type="dxa"/>
          <w:right w:w="10" w:type="dxa"/>
        </w:tblCellMar>
        <w:tblLook w:val="0000" w:firstRow="0" w:lastRow="0" w:firstColumn="0" w:lastColumn="0" w:noHBand="0" w:noVBand="0"/>
      </w:tblPr>
      <w:tblGrid>
        <w:gridCol w:w="3353"/>
        <w:gridCol w:w="758"/>
        <w:gridCol w:w="709"/>
        <w:gridCol w:w="720"/>
        <w:gridCol w:w="720"/>
        <w:gridCol w:w="720"/>
        <w:gridCol w:w="720"/>
        <w:gridCol w:w="974"/>
        <w:gridCol w:w="861"/>
      </w:tblGrid>
      <w:tr w:rsidR="008B7B48">
        <w:tblPrEx>
          <w:tblCellMar>
            <w:top w:w="0" w:type="dxa"/>
            <w:bottom w:w="0" w:type="dxa"/>
          </w:tblCellMar>
        </w:tblPrEx>
        <w:trPr>
          <w:cantSplit/>
        </w:trPr>
        <w:tc>
          <w:tcPr>
            <w:tcW w:w="33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8B7B48" w:rsidRDefault="00865E3F">
            <w:pPr>
              <w:pStyle w:val="Standard"/>
              <w:snapToGrid w:val="0"/>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項</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目</w:t>
            </w:r>
          </w:p>
        </w:tc>
        <w:tc>
          <w:tcPr>
            <w:tcW w:w="2907"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男生</w:t>
            </w:r>
          </w:p>
        </w:tc>
        <w:tc>
          <w:tcPr>
            <w:tcW w:w="32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女生</w:t>
            </w:r>
          </w:p>
        </w:tc>
      </w:tr>
      <w:tr w:rsidR="008B7B48">
        <w:tblPrEx>
          <w:tblCellMar>
            <w:top w:w="0" w:type="dxa"/>
            <w:bottom w:w="0" w:type="dxa"/>
          </w:tblCellMar>
        </w:tblPrEx>
        <w:trPr>
          <w:cantSplit/>
          <w:trHeight w:val="336"/>
        </w:trPr>
        <w:tc>
          <w:tcPr>
            <w:tcW w:w="335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00000" w:rsidRDefault="00865E3F">
            <w:pPr>
              <w:rPr>
                <w:rFonts w:hint="eastAsia"/>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13</w:t>
            </w:r>
            <w:r>
              <w:rPr>
                <w:rFonts w:ascii="標楷體" w:eastAsia="標楷體" w:hAnsi="標楷體" w:cs="標楷體"/>
                <w:color w:val="000000"/>
                <w:w w:val="75"/>
                <w:sz w:val="28"/>
                <w:szCs w:val="28"/>
              </w:rPr>
              <w:t>歲</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14</w:t>
            </w:r>
            <w:r>
              <w:rPr>
                <w:rFonts w:ascii="標楷體" w:eastAsia="標楷體" w:hAnsi="標楷體" w:cs="標楷體"/>
                <w:color w:val="000000"/>
                <w:w w:val="75"/>
                <w:sz w:val="28"/>
                <w:szCs w:val="28"/>
              </w:rPr>
              <w:t>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15</w:t>
            </w:r>
            <w:r>
              <w:rPr>
                <w:rFonts w:ascii="標楷體" w:eastAsia="標楷體" w:hAnsi="標楷體" w:cs="標楷體"/>
                <w:color w:val="000000"/>
                <w:w w:val="75"/>
                <w:sz w:val="28"/>
                <w:szCs w:val="28"/>
              </w:rPr>
              <w:t>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16</w:t>
            </w:r>
            <w:r>
              <w:rPr>
                <w:rFonts w:ascii="標楷體" w:eastAsia="標楷體" w:hAnsi="標楷體" w:cs="標楷體"/>
                <w:color w:val="000000"/>
                <w:w w:val="75"/>
                <w:sz w:val="28"/>
                <w:szCs w:val="28"/>
              </w:rPr>
              <w:t>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13</w:t>
            </w:r>
            <w:r>
              <w:rPr>
                <w:rFonts w:ascii="標楷體" w:eastAsia="標楷體" w:hAnsi="標楷體" w:cs="標楷體"/>
                <w:color w:val="000000"/>
                <w:w w:val="75"/>
                <w:sz w:val="28"/>
                <w:szCs w:val="28"/>
              </w:rPr>
              <w:t>歲</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14</w:t>
            </w:r>
            <w:r>
              <w:rPr>
                <w:rFonts w:ascii="標楷體" w:eastAsia="標楷體" w:hAnsi="標楷體" w:cs="標楷體"/>
                <w:color w:val="000000"/>
                <w:w w:val="75"/>
                <w:sz w:val="28"/>
                <w:szCs w:val="28"/>
              </w:rPr>
              <w:t>歲</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15</w:t>
            </w:r>
            <w:r>
              <w:rPr>
                <w:rFonts w:ascii="標楷體" w:eastAsia="標楷體" w:hAnsi="標楷體" w:cs="標楷體"/>
                <w:color w:val="000000"/>
                <w:w w:val="75"/>
                <w:sz w:val="28"/>
                <w:szCs w:val="28"/>
              </w:rPr>
              <w:t>歲</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w w:val="75"/>
                <w:sz w:val="28"/>
                <w:szCs w:val="28"/>
              </w:rPr>
            </w:pPr>
            <w:r>
              <w:rPr>
                <w:rFonts w:ascii="標楷體" w:eastAsia="標楷體" w:hAnsi="標楷體" w:cs="標楷體"/>
                <w:color w:val="000000"/>
                <w:w w:val="75"/>
                <w:sz w:val="28"/>
                <w:szCs w:val="28"/>
              </w:rPr>
              <w:t>16</w:t>
            </w:r>
            <w:r>
              <w:rPr>
                <w:rFonts w:ascii="標楷體" w:eastAsia="標楷體" w:hAnsi="標楷體" w:cs="標楷體"/>
                <w:color w:val="000000"/>
                <w:w w:val="75"/>
                <w:sz w:val="28"/>
                <w:szCs w:val="28"/>
              </w:rPr>
              <w:t>歲</w:t>
            </w:r>
          </w:p>
        </w:tc>
      </w:tr>
      <w:tr w:rsidR="008B7B48">
        <w:tblPrEx>
          <w:tblCellMar>
            <w:top w:w="0" w:type="dxa"/>
            <w:bottom w:w="0" w:type="dxa"/>
          </w:tblCellMar>
        </w:tblPrEx>
        <w:tc>
          <w:tcPr>
            <w:tcW w:w="3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肌耐力：一分鐘屈膝仰臥起坐</w:t>
            </w:r>
            <w:r>
              <w:rPr>
                <w:rFonts w:ascii="標楷體" w:eastAsia="標楷體" w:hAnsi="標楷體" w:cs="標楷體"/>
                <w:color w:val="000000"/>
                <w:sz w:val="28"/>
                <w:szCs w:val="28"/>
              </w:rPr>
              <w:t>(</w:t>
            </w:r>
            <w:r>
              <w:rPr>
                <w:rFonts w:ascii="標楷體" w:eastAsia="標楷體" w:hAnsi="標楷體" w:cs="標楷體"/>
                <w:color w:val="000000"/>
                <w:sz w:val="28"/>
                <w:szCs w:val="28"/>
              </w:rPr>
              <w:t>次</w:t>
            </w:r>
            <w:r>
              <w:rPr>
                <w:rFonts w:ascii="標楷體" w:eastAsia="標楷體" w:hAnsi="標楷體" w:cs="標楷體"/>
                <w:color w:val="000000"/>
                <w:sz w:val="28"/>
                <w:szCs w:val="28"/>
              </w:rPr>
              <w:t>)</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29</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30</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32</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33</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23</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22</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22</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23</w:t>
            </w:r>
          </w:p>
        </w:tc>
      </w:tr>
      <w:tr w:rsidR="008B7B48">
        <w:tblPrEx>
          <w:tblCellMar>
            <w:top w:w="0" w:type="dxa"/>
            <w:bottom w:w="0" w:type="dxa"/>
          </w:tblCellMar>
        </w:tblPrEx>
        <w:tc>
          <w:tcPr>
            <w:tcW w:w="3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柔軟度：坐姿體前彎</w:t>
            </w:r>
            <w:r>
              <w:rPr>
                <w:rFonts w:ascii="標楷體" w:eastAsia="標楷體" w:hAnsi="標楷體" w:cs="標楷體"/>
                <w:color w:val="000000"/>
                <w:sz w:val="28"/>
                <w:szCs w:val="28"/>
              </w:rPr>
              <w:t>(</w:t>
            </w:r>
            <w:r>
              <w:rPr>
                <w:rFonts w:ascii="標楷體" w:eastAsia="標楷體" w:hAnsi="標楷體" w:cs="標楷體"/>
                <w:color w:val="000000"/>
                <w:sz w:val="28"/>
                <w:szCs w:val="28"/>
              </w:rPr>
              <w:t>公分</w:t>
            </w:r>
            <w:r>
              <w:rPr>
                <w:rFonts w:ascii="標楷體" w:eastAsia="標楷體" w:hAnsi="標楷體" w:cs="標楷體"/>
                <w:color w:val="000000"/>
                <w:sz w:val="28"/>
                <w:szCs w:val="28"/>
              </w:rPr>
              <w:t>)</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24</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23</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25</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24</w:t>
            </w:r>
          </w:p>
        </w:tc>
      </w:tr>
      <w:tr w:rsidR="008B7B48">
        <w:tblPrEx>
          <w:tblCellMar>
            <w:top w:w="0" w:type="dxa"/>
            <w:bottom w:w="0" w:type="dxa"/>
          </w:tblCellMar>
        </w:tblPrEx>
        <w:trPr>
          <w:trHeight w:val="540"/>
        </w:trPr>
        <w:tc>
          <w:tcPr>
            <w:tcW w:w="3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rPr>
                <w:rFonts w:ascii="標楷體" w:eastAsia="標楷體" w:hAnsi="標楷體" w:cs="標楷體"/>
                <w:color w:val="000000"/>
                <w:sz w:val="28"/>
                <w:szCs w:val="28"/>
              </w:rPr>
            </w:pPr>
            <w:r>
              <w:rPr>
                <w:rFonts w:ascii="標楷體" w:eastAsia="標楷體" w:hAnsi="標楷體" w:cs="標楷體"/>
                <w:color w:val="000000"/>
                <w:sz w:val="28"/>
                <w:szCs w:val="28"/>
              </w:rPr>
              <w:t>瞬發力：立定跳遠</w:t>
            </w:r>
            <w:r>
              <w:rPr>
                <w:rFonts w:ascii="標楷體" w:eastAsia="標楷體" w:hAnsi="標楷體" w:cs="標楷體"/>
                <w:color w:val="000000"/>
                <w:sz w:val="28"/>
                <w:szCs w:val="28"/>
              </w:rPr>
              <w:t>(</w:t>
            </w:r>
            <w:r>
              <w:rPr>
                <w:rFonts w:ascii="標楷體" w:eastAsia="標楷體" w:hAnsi="標楷體" w:cs="標楷體"/>
                <w:color w:val="000000"/>
                <w:sz w:val="28"/>
                <w:szCs w:val="28"/>
              </w:rPr>
              <w:t>公分</w:t>
            </w:r>
            <w:r>
              <w:rPr>
                <w:rFonts w:ascii="標楷體" w:eastAsia="標楷體" w:hAnsi="標楷體" w:cs="標楷體"/>
                <w:color w:val="000000"/>
                <w:sz w:val="28"/>
                <w:szCs w:val="28"/>
              </w:rPr>
              <w:t>)</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148</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165</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175</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180</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120</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122</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125</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127</w:t>
            </w:r>
          </w:p>
        </w:tc>
      </w:tr>
      <w:tr w:rsidR="008B7B48">
        <w:tblPrEx>
          <w:tblCellMar>
            <w:top w:w="0" w:type="dxa"/>
            <w:bottom w:w="0" w:type="dxa"/>
          </w:tblCellMar>
        </w:tblPrEx>
        <w:tc>
          <w:tcPr>
            <w:tcW w:w="33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tabs>
                <w:tab w:val="left" w:pos="1872"/>
              </w:tabs>
              <w:snapToGrid w:val="0"/>
              <w:spacing w:line="460" w:lineRule="exact"/>
            </w:pPr>
            <w:r>
              <w:rPr>
                <w:rFonts w:ascii="標楷體" w:eastAsia="標楷體" w:hAnsi="標楷體" w:cs="標楷體"/>
                <w:color w:val="000000"/>
                <w:w w:val="77"/>
                <w:sz w:val="32"/>
                <w:szCs w:val="32"/>
              </w:rPr>
              <w:t>心肺耐</w:t>
            </w:r>
            <w:r>
              <w:rPr>
                <w:rFonts w:ascii="標楷體" w:eastAsia="標楷體" w:hAnsi="標楷體" w:cs="標楷體"/>
                <w:color w:val="000000"/>
                <w:spacing w:val="2"/>
                <w:w w:val="77"/>
                <w:sz w:val="32"/>
                <w:szCs w:val="32"/>
              </w:rPr>
              <w:t>力</w:t>
            </w:r>
            <w:r>
              <w:rPr>
                <w:rFonts w:ascii="標楷體" w:eastAsia="標楷體" w:hAnsi="標楷體" w:cs="標楷體"/>
                <w:color w:val="000000"/>
                <w:sz w:val="32"/>
                <w:szCs w:val="32"/>
              </w:rPr>
              <w:t>：</w:t>
            </w:r>
            <w:r>
              <w:rPr>
                <w:rFonts w:ascii="標楷體" w:eastAsia="標楷體" w:hAnsi="標楷體" w:cs="標楷體"/>
                <w:color w:val="000000"/>
                <w:w w:val="75"/>
                <w:sz w:val="28"/>
                <w:szCs w:val="28"/>
              </w:rPr>
              <w:t>8</w:t>
            </w:r>
            <w:r>
              <w:rPr>
                <w:rFonts w:ascii="標楷體" w:eastAsia="標楷體" w:hAnsi="標楷體" w:cs="標楷體"/>
                <w:color w:val="000000"/>
                <w:sz w:val="28"/>
                <w:szCs w:val="28"/>
              </w:rPr>
              <w:t>00(</w:t>
            </w:r>
            <w:r>
              <w:rPr>
                <w:rFonts w:ascii="標楷體" w:eastAsia="標楷體" w:hAnsi="標楷體" w:cs="標楷體"/>
                <w:color w:val="000000"/>
                <w:sz w:val="28"/>
                <w:szCs w:val="28"/>
              </w:rPr>
              <w:t>女</w:t>
            </w:r>
            <w:r>
              <w:rPr>
                <w:rFonts w:ascii="標楷體" w:eastAsia="標楷體" w:hAnsi="標楷體" w:cs="標楷體"/>
                <w:color w:val="000000"/>
                <w:sz w:val="28"/>
                <w:szCs w:val="28"/>
              </w:rPr>
              <w:t>)/1600(</w:t>
            </w:r>
            <w:r>
              <w:rPr>
                <w:rFonts w:ascii="標楷體" w:eastAsia="標楷體" w:hAnsi="標楷體" w:cs="標楷體"/>
                <w:color w:val="000000"/>
                <w:sz w:val="28"/>
                <w:szCs w:val="28"/>
              </w:rPr>
              <w:t>男</w:t>
            </w:r>
            <w:r>
              <w:rPr>
                <w:rFonts w:ascii="標楷體" w:eastAsia="標楷體" w:hAnsi="標楷體" w:cs="標楷體"/>
                <w:color w:val="000000"/>
                <w:sz w:val="28"/>
                <w:szCs w:val="28"/>
              </w:rPr>
              <w:t>)</w:t>
            </w:r>
            <w:r>
              <w:rPr>
                <w:rFonts w:ascii="標楷體" w:eastAsia="標楷體" w:hAnsi="標楷體" w:cs="標楷體"/>
                <w:color w:val="000000"/>
                <w:sz w:val="28"/>
                <w:szCs w:val="28"/>
              </w:rPr>
              <w:t>公尺跑走</w:t>
            </w:r>
            <w:r>
              <w:rPr>
                <w:rFonts w:ascii="標楷體" w:eastAsia="標楷體" w:hAnsi="標楷體" w:cs="標楷體"/>
                <w:color w:val="000000"/>
                <w:w w:val="75"/>
                <w:sz w:val="28"/>
                <w:szCs w:val="28"/>
              </w:rPr>
              <w:t>(</w:t>
            </w:r>
            <w:r>
              <w:rPr>
                <w:rFonts w:ascii="標楷體" w:eastAsia="標楷體" w:hAnsi="標楷體" w:cs="標楷體"/>
                <w:color w:val="000000"/>
                <w:w w:val="75"/>
                <w:sz w:val="28"/>
                <w:szCs w:val="28"/>
              </w:rPr>
              <w:t>秒</w:t>
            </w:r>
            <w:r>
              <w:rPr>
                <w:rFonts w:ascii="標楷體" w:eastAsia="標楷體" w:hAnsi="標楷體" w:cs="標楷體"/>
                <w:color w:val="000000"/>
                <w:w w:val="75"/>
                <w:sz w:val="28"/>
                <w:szCs w:val="28"/>
              </w:rPr>
              <w:t>)</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676</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659</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619</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578</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316</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323</w:t>
            </w:r>
          </w:p>
        </w:tc>
        <w:tc>
          <w:tcPr>
            <w:tcW w:w="9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320</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B7B48" w:rsidRDefault="00865E3F">
            <w:pPr>
              <w:pStyle w:val="Standard"/>
              <w:snapToGrid w:val="0"/>
              <w:spacing w:line="46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311</w:t>
            </w:r>
          </w:p>
        </w:tc>
      </w:tr>
    </w:tbl>
    <w:p w:rsidR="008B7B48" w:rsidRDefault="00865E3F">
      <w:pPr>
        <w:pStyle w:val="Standard"/>
        <w:snapToGrid w:val="0"/>
        <w:spacing w:line="460" w:lineRule="exact"/>
        <w:ind w:right="-82" w:firstLine="566"/>
        <w:jc w:val="both"/>
        <w:rPr>
          <w:rFonts w:ascii="標楷體" w:eastAsia="標楷體" w:hAnsi="標楷體" w:cs="標楷體"/>
          <w:color w:val="000000"/>
          <w:sz w:val="28"/>
          <w:szCs w:val="28"/>
        </w:rPr>
      </w:pPr>
      <w:r>
        <w:rPr>
          <w:rFonts w:ascii="標楷體" w:eastAsia="標楷體" w:hAnsi="標楷體" w:cs="標楷體"/>
          <w:color w:val="000000"/>
          <w:sz w:val="28"/>
          <w:szCs w:val="28"/>
        </w:rPr>
        <w:t>（二）計分原則：</w:t>
      </w:r>
    </w:p>
    <w:p w:rsidR="008B7B48" w:rsidRDefault="00865E3F">
      <w:pPr>
        <w:pStyle w:val="Standard"/>
        <w:snapToGrid w:val="0"/>
        <w:spacing w:line="460" w:lineRule="exact"/>
        <w:ind w:left="1841" w:right="-82" w:hanging="42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、檢測成績以門檻方式計分。</w:t>
      </w:r>
    </w:p>
    <w:p w:rsidR="008B7B48" w:rsidRDefault="00865E3F">
      <w:pPr>
        <w:pStyle w:val="Standard"/>
        <w:snapToGrid w:val="0"/>
        <w:spacing w:line="460" w:lineRule="exact"/>
        <w:ind w:left="1841" w:right="-82" w:hanging="42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、持有各級主管機關特殊教育學生鑑定及就學輔導會鑑定為身心障礙學生之證明，或領有身心障礙手冊</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證明</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者，或持有公立醫院證明為重大傷病、體弱學生，或經學校組成專責小組認定確屬不宜檢測之學生，比照門檻標準，予以</w:t>
      </w:r>
      <w:r>
        <w:rPr>
          <w:rFonts w:ascii="標楷體" w:eastAsia="標楷體" w:hAnsi="標楷體" w:cs="標楷體"/>
          <w:bCs/>
          <w:color w:val="000000"/>
          <w:sz w:val="28"/>
          <w:szCs w:val="28"/>
        </w:rPr>
        <w:lastRenderedPageBreak/>
        <w:t>計分。</w:t>
      </w:r>
    </w:p>
    <w:p w:rsidR="008B7B48" w:rsidRDefault="00865E3F">
      <w:pPr>
        <w:pStyle w:val="Standard"/>
        <w:snapToGrid w:val="0"/>
        <w:spacing w:line="460" w:lineRule="exact"/>
        <w:ind w:left="1841" w:right="-82" w:hanging="423"/>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3</w:t>
      </w:r>
      <w:r>
        <w:rPr>
          <w:rFonts w:ascii="標楷體" w:eastAsia="標楷體" w:hAnsi="標楷體" w:cs="標楷體"/>
          <w:bCs/>
          <w:color w:val="000000"/>
          <w:sz w:val="28"/>
          <w:szCs w:val="28"/>
        </w:rPr>
        <w:t>、各區可自行決定採計下列之成績證明：</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1</w:t>
      </w:r>
      <w:r>
        <w:rPr>
          <w:rFonts w:ascii="標楷體" w:eastAsia="標楷體" w:hAnsi="標楷體" w:cs="標楷體"/>
          <w:color w:val="000000"/>
          <w:sz w:val="28"/>
          <w:szCs w:val="28"/>
        </w:rPr>
        <w:t>）體適能檢測站成績證明：學生至體適能檢測站檢測，由本部統一提供格式，核發單位為各直轄市、縣</w:t>
      </w:r>
      <w:r>
        <w:rPr>
          <w:rFonts w:ascii="標楷體" w:eastAsia="標楷體" w:hAnsi="標楷體" w:cs="標楷體"/>
          <w:color w:val="000000"/>
          <w:sz w:val="28"/>
          <w:szCs w:val="28"/>
        </w:rPr>
        <w:t>(</w:t>
      </w:r>
      <w:r>
        <w:rPr>
          <w:rFonts w:ascii="標楷體" w:eastAsia="標楷體" w:hAnsi="標楷體" w:cs="標楷體"/>
          <w:color w:val="000000"/>
          <w:sz w:val="28"/>
          <w:szCs w:val="28"/>
        </w:rPr>
        <w:t>市</w:t>
      </w:r>
      <w:r>
        <w:rPr>
          <w:rFonts w:ascii="標楷體" w:eastAsia="標楷體" w:hAnsi="標楷體" w:cs="標楷體"/>
          <w:color w:val="000000"/>
          <w:sz w:val="28"/>
          <w:szCs w:val="28"/>
        </w:rPr>
        <w:t>)</w:t>
      </w:r>
      <w:r>
        <w:rPr>
          <w:rFonts w:ascii="標楷體" w:eastAsia="標楷體" w:hAnsi="標楷體" w:cs="標楷體"/>
          <w:color w:val="000000"/>
          <w:sz w:val="28"/>
          <w:szCs w:val="28"/>
        </w:rPr>
        <w:t>政府教育局</w:t>
      </w:r>
      <w:r>
        <w:rPr>
          <w:rFonts w:ascii="標楷體" w:eastAsia="標楷體" w:hAnsi="標楷體" w:cs="標楷體"/>
          <w:color w:val="000000"/>
          <w:sz w:val="28"/>
          <w:szCs w:val="28"/>
        </w:rPr>
        <w:t>(</w:t>
      </w:r>
      <w:r>
        <w:rPr>
          <w:rFonts w:ascii="標楷體" w:eastAsia="標楷體" w:hAnsi="標楷體" w:cs="標楷體"/>
          <w:color w:val="000000"/>
          <w:sz w:val="28"/>
          <w:szCs w:val="28"/>
        </w:rPr>
        <w:t>處</w:t>
      </w:r>
      <w:r>
        <w:rPr>
          <w:rFonts w:ascii="標楷體" w:eastAsia="標楷體" w:hAnsi="標楷體" w:cs="標楷體"/>
          <w:color w:val="000000"/>
          <w:sz w:val="28"/>
          <w:szCs w:val="28"/>
        </w:rPr>
        <w:t>)</w:t>
      </w:r>
      <w:r>
        <w:rPr>
          <w:rFonts w:ascii="標楷體" w:eastAsia="標楷體" w:hAnsi="標楷體" w:cs="標楷體"/>
          <w:color w:val="000000"/>
          <w:sz w:val="28"/>
          <w:szCs w:val="28"/>
        </w:rPr>
        <w:t>或檢測單位。</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2</w:t>
      </w:r>
      <w:r>
        <w:rPr>
          <w:rFonts w:ascii="標楷體" w:eastAsia="標楷體" w:hAnsi="標楷體" w:cs="標楷體"/>
          <w:color w:val="000000"/>
          <w:sz w:val="28"/>
          <w:szCs w:val="28"/>
        </w:rPr>
        <w:t>）學校自行檢測成績證明：經學校核章之體適能成績證明，檢測結果並由學校上傳至本部體適能資料上傳管理系統備查。</w:t>
      </w: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三、「競賽、資格</w:t>
      </w:r>
      <w:r>
        <w:rPr>
          <w:rFonts w:ascii="標楷體" w:eastAsia="標楷體" w:hAnsi="標楷體" w:cs="標楷體"/>
          <w:color w:val="000000"/>
          <w:sz w:val="28"/>
          <w:szCs w:val="28"/>
        </w:rPr>
        <w:t>檢定及證照」項目採計原則：</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（一）競賽項目：限學生於國中階段參加獲獎者，採計時應符合下列認定原則</w:t>
      </w:r>
      <w:r>
        <w:rPr>
          <w:rFonts w:ascii="標楷體" w:eastAsia="標楷體" w:hAnsi="標楷體" w:cs="標楷體"/>
          <w:bCs/>
          <w:color w:val="000000"/>
          <w:sz w:val="28"/>
          <w:szCs w:val="28"/>
        </w:rPr>
        <w:t>:</w:t>
      </w:r>
    </w:p>
    <w:p w:rsidR="008B7B48" w:rsidRDefault="00865E3F">
      <w:pPr>
        <w:pStyle w:val="Standard"/>
        <w:snapToGrid w:val="0"/>
        <w:spacing w:line="460" w:lineRule="exact"/>
        <w:ind w:left="1841" w:right="-82" w:hanging="423"/>
        <w:jc w:val="both"/>
      </w:pPr>
      <w:r>
        <w:rPr>
          <w:rFonts w:ascii="標楷體" w:eastAsia="標楷體" w:hAnsi="標楷體" w:cs="文鼎PL細上海宋Uni, 'Times New Roman'"/>
          <w:bCs/>
          <w:color w:val="000000"/>
          <w:sz w:val="28"/>
          <w:szCs w:val="28"/>
        </w:rPr>
        <w:t>1</w:t>
      </w:r>
      <w:r>
        <w:rPr>
          <w:rFonts w:ascii="標楷體" w:eastAsia="標楷體" w:hAnsi="標楷體" w:cs="文鼎PL細上海宋Uni, 'Times New Roman'"/>
          <w:bCs/>
          <w:color w:val="000000"/>
          <w:sz w:val="28"/>
          <w:szCs w:val="28"/>
        </w:rPr>
        <w:t>、符合主辦</w:t>
      </w:r>
      <w:r>
        <w:rPr>
          <w:rFonts w:ascii="標楷體" w:eastAsia="標楷體" w:hAnsi="標楷體" w:cs="標楷體"/>
          <w:bCs/>
          <w:color w:val="000000"/>
          <w:sz w:val="28"/>
          <w:szCs w:val="28"/>
        </w:rPr>
        <w:t>層級認定：</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1</w:t>
      </w:r>
      <w:r>
        <w:rPr>
          <w:rFonts w:ascii="標楷體" w:eastAsia="標楷體" w:hAnsi="標楷體" w:cs="標楷體"/>
          <w:color w:val="000000"/>
          <w:sz w:val="28"/>
          <w:szCs w:val="28"/>
        </w:rPr>
        <w:t>）國際性：指經中央機關薦送或認可之國際性競賽。</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2</w:t>
      </w:r>
      <w:r>
        <w:rPr>
          <w:rFonts w:ascii="標楷體" w:eastAsia="標楷體" w:hAnsi="標楷體" w:cs="標楷體"/>
          <w:color w:val="000000"/>
          <w:sz w:val="28"/>
          <w:szCs w:val="28"/>
        </w:rPr>
        <w:t>）全國性：指中央機關主辦之全國性競賽。</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3</w:t>
      </w:r>
      <w:r>
        <w:rPr>
          <w:rFonts w:ascii="標楷體" w:eastAsia="標楷體" w:hAnsi="標楷體" w:cs="標楷體"/>
          <w:color w:val="000000"/>
          <w:sz w:val="28"/>
          <w:szCs w:val="28"/>
        </w:rPr>
        <w:t>）區域性：指由中央機關主辦之分區賽，或各直轄市、</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縣</w:t>
      </w:r>
      <w:r>
        <w:rPr>
          <w:rFonts w:ascii="標楷體" w:eastAsia="標楷體" w:hAnsi="標楷體" w:cs="標楷體"/>
          <w:color w:val="000000"/>
          <w:sz w:val="28"/>
          <w:szCs w:val="28"/>
        </w:rPr>
        <w:t>(</w:t>
      </w:r>
      <w:r>
        <w:rPr>
          <w:rFonts w:ascii="標楷體" w:eastAsia="標楷體" w:hAnsi="標楷體" w:cs="標楷體"/>
          <w:color w:val="000000"/>
          <w:sz w:val="28"/>
          <w:szCs w:val="28"/>
        </w:rPr>
        <w:t>市</w:t>
      </w:r>
      <w:r>
        <w:rPr>
          <w:rFonts w:ascii="標楷體" w:eastAsia="標楷體" w:hAnsi="標楷體" w:cs="標楷體"/>
          <w:color w:val="000000"/>
          <w:sz w:val="28"/>
          <w:szCs w:val="28"/>
        </w:rPr>
        <w:t>)</w:t>
      </w:r>
      <w:r>
        <w:rPr>
          <w:rFonts w:ascii="標楷體" w:eastAsia="標楷體" w:hAnsi="標楷體" w:cs="標楷體"/>
          <w:color w:val="000000"/>
          <w:sz w:val="28"/>
          <w:szCs w:val="28"/>
        </w:rPr>
        <w:t>政府教育局</w:t>
      </w:r>
      <w:r>
        <w:rPr>
          <w:rFonts w:ascii="標楷體" w:eastAsia="標楷體" w:hAnsi="標楷體" w:cs="標楷體"/>
          <w:color w:val="000000"/>
          <w:sz w:val="28"/>
          <w:szCs w:val="28"/>
        </w:rPr>
        <w:t>(</w:t>
      </w:r>
      <w:r>
        <w:rPr>
          <w:rFonts w:ascii="標楷體" w:eastAsia="標楷體" w:hAnsi="標楷體" w:cs="標楷體"/>
          <w:color w:val="000000"/>
          <w:sz w:val="28"/>
          <w:szCs w:val="28"/>
        </w:rPr>
        <w:t>處</w:t>
      </w:r>
      <w:r>
        <w:rPr>
          <w:rFonts w:ascii="標楷體" w:eastAsia="標楷體" w:hAnsi="標楷體" w:cs="標楷體"/>
          <w:color w:val="000000"/>
          <w:sz w:val="28"/>
          <w:szCs w:val="28"/>
        </w:rPr>
        <w:t>)</w:t>
      </w:r>
      <w:r>
        <w:rPr>
          <w:rFonts w:ascii="標楷體" w:eastAsia="標楷體" w:hAnsi="標楷體" w:cs="標楷體"/>
          <w:color w:val="000000"/>
          <w:sz w:val="28"/>
          <w:szCs w:val="28"/>
        </w:rPr>
        <w:t>聯合辦理之跨縣市競賽。</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4</w:t>
      </w:r>
      <w:r>
        <w:rPr>
          <w:rFonts w:ascii="標楷體" w:eastAsia="標楷體" w:hAnsi="標楷體" w:cs="標楷體"/>
          <w:color w:val="000000"/>
          <w:sz w:val="28"/>
          <w:szCs w:val="28"/>
        </w:rPr>
        <w:t>）縣市性：指直轄市、縣（市）政府主辦或認可之競賽。</w:t>
      </w:r>
    </w:p>
    <w:p w:rsidR="008B7B48" w:rsidRDefault="00865E3F">
      <w:pPr>
        <w:pStyle w:val="Standard"/>
        <w:snapToGrid w:val="0"/>
        <w:spacing w:line="460" w:lineRule="exact"/>
        <w:ind w:left="1841" w:right="-82" w:hanging="423"/>
        <w:jc w:val="both"/>
      </w:pPr>
      <w:r>
        <w:rPr>
          <w:rFonts w:ascii="標楷體" w:eastAsia="標楷體" w:hAnsi="標楷體" w:cs="文鼎PL細上海宋Uni, 'Times New Roman'"/>
          <w:bCs/>
          <w:color w:val="000000"/>
          <w:sz w:val="28"/>
          <w:szCs w:val="28"/>
        </w:rPr>
        <w:t>2</w:t>
      </w:r>
      <w:r>
        <w:rPr>
          <w:rFonts w:ascii="標楷體" w:eastAsia="標楷體" w:hAnsi="標楷體" w:cs="文鼎PL細上海宋Uni, 'Times New Roman'"/>
          <w:bCs/>
          <w:color w:val="000000"/>
          <w:sz w:val="28"/>
          <w:szCs w:val="28"/>
        </w:rPr>
        <w:t>、</w:t>
      </w:r>
      <w:r>
        <w:rPr>
          <w:rFonts w:ascii="標楷體" w:eastAsia="標楷體" w:hAnsi="標楷體" w:cs="標楷體"/>
          <w:bCs/>
          <w:color w:val="000000"/>
          <w:sz w:val="28"/>
          <w:szCs w:val="28"/>
        </w:rPr>
        <w:t>符合</w:t>
      </w:r>
      <w:r>
        <w:rPr>
          <w:rFonts w:ascii="標楷體" w:eastAsia="標楷體" w:hAnsi="標楷體" w:cs="文鼎PL細上海宋Uni, 'Times New Roman'"/>
          <w:bCs/>
          <w:color w:val="000000"/>
          <w:sz w:val="28"/>
          <w:szCs w:val="28"/>
        </w:rPr>
        <w:t>辦理</w:t>
      </w:r>
      <w:r>
        <w:rPr>
          <w:rFonts w:ascii="標楷體" w:eastAsia="標楷體" w:hAnsi="標楷體" w:cs="標楷體"/>
          <w:bCs/>
          <w:color w:val="000000"/>
          <w:sz w:val="28"/>
          <w:szCs w:val="28"/>
        </w:rPr>
        <w:t>原則認定：</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1</w:t>
      </w:r>
      <w:r>
        <w:rPr>
          <w:rFonts w:ascii="標楷體" w:eastAsia="標楷體" w:hAnsi="標楷體" w:cs="標楷體"/>
          <w:color w:val="000000"/>
          <w:sz w:val="28"/>
          <w:szCs w:val="28"/>
        </w:rPr>
        <w:t>）教育性：應與國中課程教學相符，鼓勵學生發展多元智能及自我優勢。</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2</w:t>
      </w:r>
      <w:r>
        <w:rPr>
          <w:rFonts w:ascii="標楷體" w:eastAsia="標楷體" w:hAnsi="標楷體" w:cs="標楷體"/>
          <w:color w:val="000000"/>
          <w:sz w:val="28"/>
          <w:szCs w:val="28"/>
        </w:rPr>
        <w:t>）經常性：應定期辦理，並逐年適時檢視評審評分、競賽分組、教師指導等競賽規範之公平性。</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3</w:t>
      </w:r>
      <w:r>
        <w:rPr>
          <w:rFonts w:ascii="標楷體" w:eastAsia="標楷體" w:hAnsi="標楷體" w:cs="標楷體"/>
          <w:color w:val="000000"/>
          <w:sz w:val="28"/>
          <w:szCs w:val="28"/>
        </w:rPr>
        <w:t>）普遍性：競賽資訊應由主辦單位函告轄內國民中學學生周知，妥為宣導，並儘量讓所有學生都有參加機會。</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4</w:t>
      </w:r>
      <w:r>
        <w:rPr>
          <w:rFonts w:ascii="標楷體" w:eastAsia="標楷體" w:hAnsi="標楷體" w:cs="標楷體"/>
          <w:color w:val="000000"/>
          <w:sz w:val="28"/>
          <w:szCs w:val="28"/>
        </w:rPr>
        <w:t>）逐級性：縣市性競賽參賽者，原則由學校經校內初選或推薦參加之；區域性、全國性、國際性競賽參賽者，原則由學校經校內初選或推薦，並由直轄市、縣（市）政府複選或推薦參加。</w:t>
      </w:r>
    </w:p>
    <w:p w:rsidR="008B7B48" w:rsidRDefault="00865E3F">
      <w:pPr>
        <w:pStyle w:val="Standard"/>
        <w:snapToGrid w:val="0"/>
        <w:spacing w:line="460" w:lineRule="exact"/>
        <w:ind w:left="1841" w:right="-82" w:hanging="423"/>
        <w:jc w:val="both"/>
        <w:rPr>
          <w:rFonts w:ascii="標楷體" w:eastAsia="標楷體" w:hAnsi="標楷體" w:cs="文鼎PL細上海宋Uni, 'Times New Roman'"/>
          <w:bCs/>
          <w:color w:val="000000"/>
          <w:sz w:val="28"/>
          <w:szCs w:val="28"/>
        </w:rPr>
      </w:pPr>
      <w:r>
        <w:rPr>
          <w:rFonts w:ascii="標楷體" w:eastAsia="標楷體" w:hAnsi="標楷體" w:cs="文鼎PL細上海宋Uni, 'Times New Roman'"/>
          <w:bCs/>
          <w:color w:val="000000"/>
          <w:sz w:val="28"/>
          <w:szCs w:val="28"/>
        </w:rPr>
        <w:lastRenderedPageBreak/>
        <w:t>3</w:t>
      </w:r>
      <w:r>
        <w:rPr>
          <w:rFonts w:ascii="標楷體" w:eastAsia="標楷體" w:hAnsi="標楷體" w:cs="文鼎PL細上海宋Uni, 'Times New Roman'"/>
          <w:bCs/>
          <w:color w:val="000000"/>
          <w:sz w:val="28"/>
          <w:szCs w:val="28"/>
        </w:rPr>
        <w:t>、成績計分原則：</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1</w:t>
      </w:r>
      <w:r>
        <w:rPr>
          <w:rFonts w:ascii="標楷體" w:eastAsia="標楷體" w:hAnsi="標楷體" w:cs="標楷體"/>
          <w:color w:val="000000"/>
          <w:sz w:val="28"/>
          <w:szCs w:val="28"/>
        </w:rPr>
        <w:t>）應明定各競賽項目核獎之項目及人數上限，且競賽間之核獎總數應符合比例原則。</w:t>
      </w:r>
    </w:p>
    <w:p w:rsidR="008B7B48" w:rsidRDefault="00865E3F">
      <w:pPr>
        <w:pStyle w:val="Standard"/>
        <w:snapToGrid w:val="0"/>
        <w:spacing w:line="460" w:lineRule="exact"/>
        <w:ind w:left="2549" w:right="-82" w:hanging="706"/>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2</w:t>
      </w:r>
      <w:r>
        <w:rPr>
          <w:rFonts w:ascii="標楷體" w:eastAsia="標楷體" w:hAnsi="標楷體" w:cs="標楷體"/>
          <w:color w:val="000000"/>
          <w:sz w:val="28"/>
          <w:szCs w:val="28"/>
        </w:rPr>
        <w:t>）競賽成績積分之總合應訂定上限。</w:t>
      </w:r>
    </w:p>
    <w:p w:rsidR="008B7B48" w:rsidRDefault="00865E3F">
      <w:pPr>
        <w:pStyle w:val="Standard"/>
        <w:snapToGrid w:val="0"/>
        <w:spacing w:line="460" w:lineRule="exact"/>
        <w:ind w:left="1414" w:right="-82" w:hanging="848"/>
        <w:jc w:val="both"/>
      </w:pPr>
      <w:r>
        <w:rPr>
          <w:rFonts w:ascii="標楷體" w:eastAsia="標楷體" w:hAnsi="標楷體" w:cs="文鼎PL細上海宋Uni, 'Times New Roman'"/>
          <w:bCs/>
          <w:color w:val="000000"/>
          <w:sz w:val="28"/>
          <w:szCs w:val="28"/>
        </w:rPr>
        <w:t>（二）資格檢定</w:t>
      </w:r>
      <w:r>
        <w:rPr>
          <w:rFonts w:ascii="標楷體" w:eastAsia="標楷體" w:hAnsi="標楷體" w:cs="標楷體"/>
          <w:color w:val="000000"/>
          <w:sz w:val="28"/>
          <w:szCs w:val="28"/>
        </w:rPr>
        <w:t>及證照</w:t>
      </w:r>
      <w:r>
        <w:rPr>
          <w:rFonts w:ascii="標楷體" w:eastAsia="標楷體" w:hAnsi="標楷體" w:cs="文鼎PL細上海宋Uni, 'Times New Roman'"/>
          <w:bCs/>
          <w:color w:val="000000"/>
          <w:sz w:val="28"/>
          <w:szCs w:val="28"/>
        </w:rPr>
        <w:t>之認定，以政府機關辦理或認可之項目為範圍，其</w:t>
      </w:r>
      <w:r>
        <w:rPr>
          <w:rFonts w:ascii="標楷體" w:eastAsia="標楷體" w:hAnsi="標楷體" w:cs="標楷體"/>
          <w:bCs/>
          <w:color w:val="000000"/>
          <w:sz w:val="28"/>
          <w:szCs w:val="28"/>
        </w:rPr>
        <w:t>積</w:t>
      </w:r>
      <w:r>
        <w:rPr>
          <w:rFonts w:ascii="標楷體" w:eastAsia="標楷體" w:hAnsi="標楷體" w:cs="標楷體"/>
          <w:bCs/>
          <w:color w:val="000000"/>
          <w:sz w:val="28"/>
          <w:szCs w:val="28"/>
        </w:rPr>
        <w:t>分之</w:t>
      </w:r>
      <w:r>
        <w:rPr>
          <w:rFonts w:ascii="標楷體" w:eastAsia="標楷體" w:hAnsi="標楷體" w:cs="標楷體"/>
          <w:bCs/>
          <w:color w:val="000000"/>
          <w:sz w:val="28"/>
          <w:szCs w:val="28"/>
        </w:rPr>
        <w:t>總合</w:t>
      </w:r>
      <w:r>
        <w:rPr>
          <w:rFonts w:ascii="標楷體" w:eastAsia="標楷體" w:hAnsi="標楷體" w:cs="文鼎PL細上海宋Uni, 'Times New Roman'"/>
          <w:bCs/>
          <w:color w:val="000000"/>
          <w:sz w:val="28"/>
          <w:szCs w:val="28"/>
        </w:rPr>
        <w:t>應訂定上限。</w:t>
      </w: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四、「服務學習」項目採計原則：</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（一）各國中應依據直轄市、縣</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市</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政府所訂定規範，由學校提供足量之服務學習時數，並公告周知。</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（二）校內服務，由學校規劃學習課程或活動，並發給服務學習證明；校外服務內容及發證，由各區定之。</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（三）參加學校社團，或經民主程序選出之幹部，得納入服務學習項目計分。</w:t>
      </w:r>
    </w:p>
    <w:p w:rsidR="008B7B48" w:rsidRDefault="00865E3F">
      <w:pPr>
        <w:pStyle w:val="Standard"/>
        <w:spacing w:line="460" w:lineRule="exact"/>
        <w:ind w:left="566" w:hanging="566"/>
      </w:pPr>
      <w:r>
        <w:rPr>
          <w:rFonts w:ascii="標楷體" w:eastAsia="標楷體" w:hAnsi="標楷體" w:cs="標楷體"/>
          <w:bCs/>
          <w:color w:val="000000"/>
          <w:sz w:val="28"/>
          <w:szCs w:val="28"/>
        </w:rPr>
        <w:t>五</w:t>
      </w:r>
      <w:r>
        <w:rPr>
          <w:rFonts w:ascii="標楷體" w:eastAsia="標楷體" w:hAnsi="標楷體" w:cs="標楷體"/>
          <w:color w:val="000000"/>
          <w:sz w:val="28"/>
          <w:szCs w:val="28"/>
        </w:rPr>
        <w:t>、「日常生活表現」項目採計原則：</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（一）獎懲類別：依獎懲種類分別計分。功過相抵或銷過後無懲處紀錄者，與原無懲處紀錄者給予同等之計分</w:t>
      </w:r>
      <w:r>
        <w:rPr>
          <w:rFonts w:ascii="標楷體" w:eastAsia="標楷體" w:hAnsi="標楷體" w:cs="標楷體"/>
          <w:bCs/>
          <w:color w:val="000000"/>
          <w:sz w:val="28"/>
          <w:szCs w:val="28"/>
        </w:rPr>
        <w:t>。</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（二）出缺席情形，以學生之曠課節數為計分依據。</w:t>
      </w:r>
    </w:p>
    <w:p w:rsidR="008B7B48" w:rsidRDefault="00865E3F">
      <w:pPr>
        <w:pStyle w:val="Standard"/>
        <w:snapToGrid w:val="0"/>
        <w:spacing w:line="460" w:lineRule="exact"/>
        <w:ind w:left="1414" w:right="-82" w:hanging="848"/>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t>（三）各區應訂定日常生活表現項目積分總合之上限。</w:t>
      </w:r>
    </w:p>
    <w:p w:rsidR="008B7B48" w:rsidRDefault="00865E3F">
      <w:pPr>
        <w:pStyle w:val="Standard"/>
        <w:spacing w:line="460" w:lineRule="exact"/>
        <w:ind w:left="566" w:hanging="566"/>
        <w:rPr>
          <w:rFonts w:ascii="標楷體" w:eastAsia="標楷體" w:hAnsi="標楷體" w:cs="標楷體"/>
          <w:color w:val="000000"/>
          <w:sz w:val="28"/>
          <w:szCs w:val="28"/>
        </w:rPr>
      </w:pPr>
      <w:r>
        <w:rPr>
          <w:rFonts w:ascii="標楷體" w:eastAsia="標楷體" w:hAnsi="標楷體" w:cs="標楷體"/>
          <w:color w:val="000000"/>
          <w:sz w:val="28"/>
          <w:szCs w:val="28"/>
        </w:rPr>
        <w:t>六、直轄市、縣</w:t>
      </w:r>
      <w:r>
        <w:rPr>
          <w:rFonts w:ascii="標楷體" w:eastAsia="標楷體" w:hAnsi="標楷體" w:cs="標楷體"/>
          <w:color w:val="000000"/>
          <w:sz w:val="28"/>
          <w:szCs w:val="28"/>
        </w:rPr>
        <w:t>(</w:t>
      </w:r>
      <w:r>
        <w:rPr>
          <w:rFonts w:ascii="標楷體" w:eastAsia="標楷體" w:hAnsi="標楷體" w:cs="標楷體"/>
          <w:color w:val="000000"/>
          <w:sz w:val="28"/>
          <w:szCs w:val="28"/>
        </w:rPr>
        <w:t>市</w:t>
      </w:r>
      <w:r>
        <w:rPr>
          <w:rFonts w:ascii="標楷體" w:eastAsia="標楷體" w:hAnsi="標楷體" w:cs="標楷體"/>
          <w:color w:val="000000"/>
          <w:sz w:val="28"/>
          <w:szCs w:val="28"/>
        </w:rPr>
        <w:t>)</w:t>
      </w:r>
      <w:r>
        <w:rPr>
          <w:rFonts w:ascii="標楷體" w:eastAsia="標楷體" w:hAnsi="標楷體" w:cs="標楷體"/>
          <w:color w:val="000000"/>
          <w:sz w:val="28"/>
          <w:szCs w:val="28"/>
        </w:rPr>
        <w:t>政府，應就非應屆畢業學生、轉學生、特殊教育學生、身體羸弱與家庭經濟不利學生、海外臺灣學校、大陸地區臺商學校及非學校型態實驗教育學生之特殊性，妥慎考量其採計方式及輔導措施，以確保其升學權益。</w:t>
      </w:r>
    </w:p>
    <w:p w:rsidR="008B7B48" w:rsidRDefault="008B7B48">
      <w:pPr>
        <w:pStyle w:val="Standard"/>
        <w:spacing w:line="460" w:lineRule="exact"/>
        <w:ind w:left="566" w:hanging="566"/>
        <w:rPr>
          <w:rFonts w:ascii="標楷體" w:eastAsia="標楷體" w:hAnsi="標楷體" w:cs="標楷體"/>
          <w:b/>
          <w:color w:val="000000"/>
          <w:sz w:val="28"/>
          <w:szCs w:val="28"/>
        </w:rPr>
      </w:pPr>
    </w:p>
    <w:sectPr w:rsidR="008B7B48">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3F" w:rsidRDefault="00865E3F">
      <w:pPr>
        <w:rPr>
          <w:rFonts w:hint="eastAsia"/>
        </w:rPr>
      </w:pPr>
      <w:r>
        <w:separator/>
      </w:r>
    </w:p>
  </w:endnote>
  <w:endnote w:type="continuationSeparator" w:id="0">
    <w:p w:rsidR="00865E3F" w:rsidRDefault="00865E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 w:name="文鼎PL細上海宋Uni, '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3F" w:rsidRDefault="00865E3F">
      <w:pPr>
        <w:rPr>
          <w:rFonts w:hint="eastAsia"/>
        </w:rPr>
      </w:pPr>
      <w:r>
        <w:rPr>
          <w:color w:val="000000"/>
        </w:rPr>
        <w:separator/>
      </w:r>
    </w:p>
  </w:footnote>
  <w:footnote w:type="continuationSeparator" w:id="0">
    <w:p w:rsidR="00865E3F" w:rsidRDefault="00865E3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7815"/>
    <w:multiLevelType w:val="multilevel"/>
    <w:tmpl w:val="153E32B6"/>
    <w:styleLink w:val="WW8Num1"/>
    <w:lvl w:ilvl="0">
      <w:start w:val="1"/>
      <w:numFmt w:val="japaneseCounting"/>
      <w:lvlText w:val="%1、"/>
      <w:lvlJc w:val="left"/>
      <w:pPr>
        <w:ind w:left="720" w:hanging="480"/>
      </w:pPr>
      <w:rPr>
        <w:rFonts w:cs="Times New Roman"/>
        <w:color w:val="000000"/>
        <w:u w:val="single"/>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8B7B48"/>
    <w:rsid w:val="00865E3F"/>
    <w:rsid w:val="008B7B48"/>
    <w:rsid w:val="00FC6B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AE6338-7E66-4F5B-910B-3990E715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a7">
    <w:name w:val="List Paragraph"/>
    <w:basedOn w:val="Standard"/>
    <w:pPr>
      <w:ind w:left="48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Times New Roman"/>
      <w:color w:val="000000"/>
      <w:u w:val="single"/>
    </w:rPr>
  </w:style>
  <w:style w:type="character" w:customStyle="1" w:styleId="WW8Num1z1">
    <w:name w:val="WW8Num1z1"/>
    <w:rPr>
      <w:rFonts w:cs="Times New Roman"/>
    </w:rPr>
  </w:style>
  <w:style w:type="character" w:customStyle="1" w:styleId="a8">
    <w:name w:val="頁首 字元"/>
    <w:basedOn w:val="a0"/>
    <w:rPr>
      <w:kern w:val="3"/>
    </w:rPr>
  </w:style>
  <w:style w:type="character" w:customStyle="1" w:styleId="a9">
    <w:name w:val="頁尾 字元"/>
    <w:basedOn w:val="a0"/>
    <w:rPr>
      <w:kern w:val="3"/>
    </w:rPr>
  </w:style>
  <w:style w:type="character" w:customStyle="1" w:styleId="HTML0">
    <w:name w:val="HTML 預設格式 字元"/>
    <w:basedOn w:val="a0"/>
    <w:rPr>
      <w:rFonts w:ascii="細明體, MingLiU" w:eastAsia="細明體, MingLiU" w:hAnsi="細明體, MingLiU" w:cs="細明體, MingLiU"/>
      <w:sz w:val="24"/>
      <w:szCs w:val="24"/>
    </w:rPr>
  </w:style>
  <w:style w:type="character" w:customStyle="1" w:styleId="aa">
    <w:name w:val="清單段落 字元"/>
    <w:rPr>
      <w:szCs w:val="24"/>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高級中等學校免試入學作業要點訂定應遵行事項第4點修正規定</dc:title>
  <dc:creator>tpde</dc:creator>
  <cp:lastModifiedBy>鄭如玲</cp:lastModifiedBy>
  <cp:revision>2</cp:revision>
  <cp:lastPrinted>2016-08-10T12:36:00Z</cp:lastPrinted>
  <dcterms:created xsi:type="dcterms:W3CDTF">2016-08-31T01:32:00Z</dcterms:created>
  <dcterms:modified xsi:type="dcterms:W3CDTF">2016-08-31T01:32:00Z</dcterms:modified>
</cp:coreProperties>
</file>